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wmf" ContentType="image/x-wmf"/>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ind w:left="0" w:leftChars="0" w:firstLine="0" w:firstLineChars="0"/>
        <w:rPr>
          <w:rFonts w:hint="eastAsia" w:ascii="宋体" w:hAnsi="宋体"/>
          <w:color w:val="auto"/>
          <w:sz w:val="30"/>
          <w:szCs w:val="30"/>
          <w:highlight w:val="none"/>
        </w:rPr>
      </w:pPr>
      <w:bookmarkStart w:id="0" w:name="_Toc404766529"/>
      <w:bookmarkStart w:id="1" w:name="_Toc513816891"/>
    </w:p>
    <w:p>
      <w:pPr>
        <w:spacing w:line="360" w:lineRule="auto"/>
        <w:ind w:left="0" w:leftChars="0" w:firstLine="0" w:firstLineChars="0"/>
        <w:rPr>
          <w:rFonts w:ascii="宋体" w:hAnsi="宋体"/>
          <w:color w:val="auto"/>
          <w:sz w:val="28"/>
          <w:highlight w:val="none"/>
        </w:rPr>
      </w:pPr>
      <w:r>
        <w:rPr>
          <w:rFonts w:hint="eastAsia" w:ascii="宋体" w:hAnsi="宋体"/>
          <w:color w:val="auto"/>
          <w:sz w:val="30"/>
          <w:szCs w:val="30"/>
          <w:highlight w:val="none"/>
        </w:rPr>
        <w:t>设计证书编号：A444003</w:t>
      </w:r>
      <w:r>
        <w:rPr>
          <w:rFonts w:hint="eastAsia" w:ascii="宋体" w:hAnsi="宋体"/>
          <w:color w:val="auto"/>
          <w:sz w:val="30"/>
          <w:szCs w:val="30"/>
          <w:highlight w:val="none"/>
          <w:lang w:val="en-US" w:eastAsia="zh-CN"/>
        </w:rPr>
        <w:t>358</w:t>
      </w:r>
    </w:p>
    <w:p>
      <w:pPr>
        <w:spacing w:line="480" w:lineRule="auto"/>
        <w:ind w:firstLine="963"/>
        <w:jc w:val="center"/>
        <w:rPr>
          <w:rFonts w:hint="eastAsia" w:ascii="宋体" w:hAnsi="宋体"/>
          <w:b/>
          <w:bCs/>
          <w:color w:val="auto"/>
          <w:spacing w:val="20"/>
          <w:sz w:val="44"/>
          <w:szCs w:val="44"/>
          <w:highlight w:val="none"/>
        </w:rPr>
      </w:pPr>
    </w:p>
    <w:p>
      <w:pPr>
        <w:spacing w:line="480" w:lineRule="auto"/>
        <w:ind w:firstLine="963"/>
        <w:jc w:val="center"/>
        <w:rPr>
          <w:rFonts w:hint="eastAsia" w:ascii="宋体" w:hAnsi="宋体"/>
          <w:b/>
          <w:bCs/>
          <w:color w:val="auto"/>
          <w:spacing w:val="20"/>
          <w:sz w:val="44"/>
          <w:szCs w:val="44"/>
          <w:highlight w:val="none"/>
        </w:rPr>
      </w:pP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left="0" w:leftChars="0" w:right="0" w:rightChars="0" w:firstLine="0" w:firstLineChars="0"/>
        <w:jc w:val="center"/>
        <w:textAlignment w:val="auto"/>
        <w:outlineLvl w:val="9"/>
        <w:rPr>
          <w:rFonts w:hint="eastAsia" w:ascii="宋体" w:hAnsi="宋体"/>
          <w:b/>
          <w:bCs/>
          <w:color w:val="auto"/>
          <w:spacing w:val="20"/>
          <w:sz w:val="44"/>
          <w:szCs w:val="44"/>
          <w:highlight w:val="none"/>
          <w:lang w:eastAsia="zh-CN"/>
        </w:rPr>
      </w:pPr>
      <w:bookmarkStart w:id="2" w:name="OLE_LINK21"/>
      <w:r>
        <w:rPr>
          <w:rFonts w:hint="eastAsia" w:ascii="宋体" w:hAnsi="宋体"/>
          <w:b/>
          <w:bCs/>
          <w:color w:val="auto"/>
          <w:spacing w:val="20"/>
          <w:sz w:val="44"/>
          <w:szCs w:val="44"/>
          <w:highlight w:val="none"/>
          <w:lang w:eastAsia="zh-CN"/>
        </w:rPr>
        <w:t>从化区温泉镇南大水库灌区</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left="0" w:leftChars="0" w:right="0" w:rightChars="0" w:firstLine="0" w:firstLineChars="0"/>
        <w:jc w:val="center"/>
        <w:textAlignment w:val="auto"/>
        <w:outlineLvl w:val="9"/>
        <w:rPr>
          <w:rFonts w:hint="eastAsia" w:ascii="宋体" w:hAnsi="宋体"/>
          <w:b/>
          <w:bCs/>
          <w:color w:val="auto"/>
          <w:spacing w:val="20"/>
          <w:sz w:val="44"/>
          <w:szCs w:val="44"/>
          <w:highlight w:val="none"/>
          <w:lang w:eastAsia="zh-CN"/>
        </w:rPr>
      </w:pPr>
      <w:r>
        <w:rPr>
          <w:rFonts w:hint="eastAsia" w:ascii="宋体" w:hAnsi="宋体"/>
          <w:b/>
          <w:bCs/>
          <w:color w:val="auto"/>
          <w:spacing w:val="20"/>
          <w:sz w:val="44"/>
          <w:szCs w:val="44"/>
          <w:highlight w:val="none"/>
          <w:lang w:eastAsia="zh-CN"/>
        </w:rPr>
        <w:t>（桃莲段）改造工程</w:t>
      </w:r>
    </w:p>
    <w:bookmarkEnd w:id="2"/>
    <w:p>
      <w:pPr>
        <w:spacing w:line="360" w:lineRule="auto"/>
        <w:ind w:firstLine="960"/>
        <w:jc w:val="center"/>
        <w:rPr>
          <w:rFonts w:hint="eastAsia" w:ascii="宋体" w:hAnsi="宋体"/>
          <w:color w:val="auto"/>
          <w:sz w:val="48"/>
          <w:highlight w:val="none"/>
        </w:rPr>
      </w:pPr>
    </w:p>
    <w:p>
      <w:pPr>
        <w:spacing w:line="360" w:lineRule="auto"/>
        <w:ind w:firstLine="960"/>
        <w:jc w:val="center"/>
        <w:rPr>
          <w:rFonts w:hint="eastAsia" w:ascii="宋体" w:hAnsi="宋体"/>
          <w:color w:val="auto"/>
          <w:sz w:val="48"/>
          <w:highlight w:val="none"/>
        </w:rPr>
      </w:pPr>
    </w:p>
    <w:p>
      <w:pPr>
        <w:spacing w:line="360" w:lineRule="auto"/>
        <w:ind w:firstLine="960"/>
        <w:jc w:val="center"/>
        <w:rPr>
          <w:rFonts w:hint="eastAsia" w:ascii="宋体" w:hAnsi="宋体"/>
          <w:color w:val="auto"/>
          <w:sz w:val="48"/>
          <w:highlight w:val="none"/>
        </w:rPr>
      </w:pPr>
    </w:p>
    <w:p>
      <w:pPr>
        <w:spacing w:line="360" w:lineRule="auto"/>
        <w:ind w:firstLine="960"/>
        <w:jc w:val="center"/>
        <w:rPr>
          <w:rFonts w:hint="eastAsia" w:ascii="宋体" w:hAnsi="宋体"/>
          <w:color w:val="auto"/>
          <w:sz w:val="48"/>
          <w:highlight w:val="none"/>
        </w:rPr>
      </w:pPr>
    </w:p>
    <w:p>
      <w:pPr>
        <w:spacing w:line="360" w:lineRule="auto"/>
        <w:ind w:firstLine="960"/>
        <w:rPr>
          <w:rFonts w:hint="eastAsia" w:ascii="宋体" w:hAnsi="宋体"/>
          <w:color w:val="auto"/>
          <w:sz w:val="48"/>
          <w:highlight w:val="none"/>
        </w:rPr>
      </w:pPr>
    </w:p>
    <w:p>
      <w:pPr>
        <w:spacing w:line="360" w:lineRule="auto"/>
        <w:ind w:left="0" w:leftChars="0" w:firstLine="0" w:firstLineChars="0"/>
        <w:jc w:val="center"/>
        <w:rPr>
          <w:rFonts w:hint="eastAsia" w:ascii="宋体" w:hAnsi="宋体"/>
          <w:b/>
          <w:bCs/>
          <w:color w:val="auto"/>
          <w:sz w:val="72"/>
          <w:szCs w:val="72"/>
          <w:highlight w:val="none"/>
        </w:rPr>
      </w:pPr>
      <w:r>
        <w:rPr>
          <w:rFonts w:hint="eastAsia" w:ascii="宋体" w:hAnsi="宋体"/>
          <w:b/>
          <w:bCs/>
          <w:color w:val="auto"/>
          <w:sz w:val="72"/>
          <w:szCs w:val="72"/>
          <w:highlight w:val="none"/>
        </w:rPr>
        <w:t>初步设计报告</w:t>
      </w:r>
    </w:p>
    <w:p>
      <w:pPr>
        <w:spacing w:line="360" w:lineRule="auto"/>
        <w:ind w:firstLine="640"/>
        <w:rPr>
          <w:rFonts w:hint="eastAsia" w:ascii="宋体" w:hAnsi="宋体"/>
          <w:color w:val="auto"/>
          <w:sz w:val="32"/>
          <w:highlight w:val="none"/>
        </w:rPr>
      </w:pPr>
    </w:p>
    <w:p>
      <w:pPr>
        <w:spacing w:line="360" w:lineRule="auto"/>
        <w:ind w:firstLine="640"/>
        <w:rPr>
          <w:rFonts w:hint="eastAsia" w:ascii="宋体" w:hAnsi="宋体"/>
          <w:color w:val="auto"/>
          <w:sz w:val="32"/>
          <w:highlight w:val="none"/>
        </w:rPr>
      </w:pPr>
    </w:p>
    <w:p>
      <w:pPr>
        <w:spacing w:line="360" w:lineRule="auto"/>
        <w:ind w:firstLine="640"/>
        <w:rPr>
          <w:rFonts w:hint="eastAsia" w:ascii="宋体" w:hAnsi="宋体"/>
          <w:color w:val="auto"/>
          <w:sz w:val="32"/>
          <w:highlight w:val="none"/>
        </w:rPr>
      </w:pPr>
    </w:p>
    <w:p>
      <w:pPr>
        <w:spacing w:line="360" w:lineRule="auto"/>
        <w:ind w:firstLine="640"/>
        <w:rPr>
          <w:rFonts w:hint="eastAsia" w:ascii="宋体" w:hAnsi="宋体"/>
          <w:color w:val="auto"/>
          <w:sz w:val="32"/>
          <w:highlight w:val="none"/>
        </w:rPr>
      </w:pPr>
    </w:p>
    <w:p>
      <w:pPr>
        <w:spacing w:line="360" w:lineRule="auto"/>
        <w:ind w:firstLine="640"/>
        <w:rPr>
          <w:rFonts w:hint="eastAsia" w:ascii="宋体" w:hAnsi="宋体"/>
          <w:color w:val="auto"/>
          <w:sz w:val="32"/>
          <w:highlight w:val="none"/>
        </w:rPr>
      </w:pPr>
    </w:p>
    <w:p>
      <w:pPr>
        <w:spacing w:line="360" w:lineRule="auto"/>
        <w:ind w:firstLine="640"/>
        <w:rPr>
          <w:rFonts w:hint="eastAsia" w:ascii="宋体" w:hAnsi="宋体"/>
          <w:color w:val="auto"/>
          <w:sz w:val="32"/>
          <w:highlight w:val="none"/>
        </w:rPr>
      </w:pPr>
    </w:p>
    <w:p>
      <w:pPr>
        <w:spacing w:line="360" w:lineRule="auto"/>
        <w:ind w:left="0" w:leftChars="0" w:firstLine="0" w:firstLineChars="0"/>
        <w:jc w:val="center"/>
        <w:rPr>
          <w:rFonts w:hint="eastAsia" w:ascii="宋体" w:hAnsi="宋体"/>
          <w:b/>
          <w:color w:val="auto"/>
          <w:spacing w:val="20"/>
          <w:sz w:val="30"/>
          <w:szCs w:val="30"/>
          <w:highlight w:val="none"/>
        </w:rPr>
      </w:pPr>
      <w:r>
        <w:rPr>
          <w:rFonts w:hint="eastAsia" w:ascii="宋体" w:hAnsi="宋体"/>
          <w:b/>
          <w:color w:val="auto"/>
          <w:spacing w:val="20"/>
          <w:sz w:val="30"/>
          <w:szCs w:val="30"/>
          <w:highlight w:val="none"/>
          <w:lang w:eastAsia="zh-CN"/>
        </w:rPr>
        <w:t>广东</w:t>
      </w:r>
      <w:r>
        <w:rPr>
          <w:rFonts w:hint="eastAsia" w:ascii="宋体" w:hAnsi="宋体"/>
          <w:b/>
          <w:color w:val="auto"/>
          <w:spacing w:val="20"/>
          <w:sz w:val="30"/>
          <w:szCs w:val="30"/>
          <w:highlight w:val="none"/>
        </w:rPr>
        <w:t>海纳</w:t>
      </w:r>
      <w:r>
        <w:rPr>
          <w:rFonts w:hint="eastAsia" w:ascii="宋体" w:hAnsi="宋体"/>
          <w:b/>
          <w:color w:val="auto"/>
          <w:spacing w:val="20"/>
          <w:sz w:val="30"/>
          <w:szCs w:val="30"/>
          <w:highlight w:val="none"/>
          <w:lang w:eastAsia="zh-CN"/>
        </w:rPr>
        <w:t>工程管理咨询</w:t>
      </w:r>
      <w:r>
        <w:rPr>
          <w:rFonts w:hint="eastAsia" w:ascii="宋体" w:hAnsi="宋体"/>
          <w:b/>
          <w:color w:val="auto"/>
          <w:spacing w:val="20"/>
          <w:sz w:val="30"/>
          <w:szCs w:val="30"/>
          <w:highlight w:val="none"/>
        </w:rPr>
        <w:t>有限公司</w:t>
      </w:r>
    </w:p>
    <w:p>
      <w:pPr>
        <w:spacing w:line="360" w:lineRule="auto"/>
        <w:ind w:left="0" w:leftChars="0" w:firstLine="0" w:firstLineChars="0"/>
        <w:jc w:val="center"/>
        <w:rPr>
          <w:rFonts w:hint="eastAsia" w:ascii="宋体" w:hAnsi="宋体"/>
          <w:b/>
          <w:color w:val="auto"/>
          <w:spacing w:val="20"/>
          <w:sz w:val="30"/>
          <w:szCs w:val="30"/>
          <w:highlight w:val="none"/>
        </w:rPr>
      </w:pPr>
      <w:r>
        <w:rPr>
          <w:rFonts w:hint="eastAsia" w:ascii="宋体" w:hAnsi="宋体"/>
          <w:b/>
          <w:color w:val="auto"/>
          <w:spacing w:val="20"/>
          <w:sz w:val="30"/>
          <w:szCs w:val="30"/>
          <w:highlight w:val="none"/>
        </w:rPr>
        <w:t>二○</w:t>
      </w:r>
      <w:r>
        <w:rPr>
          <w:rFonts w:hint="eastAsia" w:ascii="宋体" w:hAnsi="宋体"/>
          <w:b/>
          <w:color w:val="auto"/>
          <w:spacing w:val="20"/>
          <w:sz w:val="30"/>
          <w:szCs w:val="30"/>
          <w:highlight w:val="none"/>
          <w:lang w:eastAsia="zh-CN"/>
        </w:rPr>
        <w:t>二</w:t>
      </w:r>
      <w:r>
        <w:rPr>
          <w:rFonts w:hint="eastAsia" w:ascii="宋体" w:hAnsi="宋体"/>
          <w:b/>
          <w:color w:val="auto"/>
          <w:spacing w:val="20"/>
          <w:sz w:val="30"/>
          <w:szCs w:val="30"/>
          <w:highlight w:val="none"/>
          <w:lang w:val="en-US" w:eastAsia="zh-CN"/>
        </w:rPr>
        <w:t>三</w:t>
      </w:r>
      <w:r>
        <w:rPr>
          <w:rFonts w:hint="eastAsia" w:ascii="宋体" w:hAnsi="宋体"/>
          <w:b/>
          <w:color w:val="auto"/>
          <w:spacing w:val="20"/>
          <w:sz w:val="30"/>
          <w:szCs w:val="30"/>
          <w:highlight w:val="none"/>
        </w:rPr>
        <w:t>年</w:t>
      </w:r>
      <w:r>
        <w:rPr>
          <w:rFonts w:hint="eastAsia" w:ascii="宋体" w:hAnsi="宋体"/>
          <w:b/>
          <w:color w:val="auto"/>
          <w:spacing w:val="20"/>
          <w:sz w:val="30"/>
          <w:szCs w:val="30"/>
          <w:highlight w:val="none"/>
          <w:lang w:val="en-US" w:eastAsia="zh-CN"/>
        </w:rPr>
        <w:t>五</w:t>
      </w:r>
      <w:r>
        <w:rPr>
          <w:rFonts w:hint="eastAsia" w:ascii="宋体" w:hAnsi="宋体"/>
          <w:b/>
          <w:color w:val="auto"/>
          <w:spacing w:val="20"/>
          <w:sz w:val="30"/>
          <w:szCs w:val="30"/>
          <w:highlight w:val="none"/>
        </w:rPr>
        <w:t>月</w:t>
      </w:r>
    </w:p>
    <w:p>
      <w:pPr>
        <w:spacing w:line="360" w:lineRule="auto"/>
        <w:ind w:left="0" w:leftChars="0" w:firstLine="0" w:firstLineChars="0"/>
        <w:jc w:val="center"/>
        <w:rPr>
          <w:rFonts w:hint="eastAsia" w:ascii="宋体" w:hAnsi="宋体"/>
          <w:b/>
          <w:color w:val="auto"/>
          <w:spacing w:val="20"/>
          <w:sz w:val="30"/>
          <w:szCs w:val="30"/>
          <w:highlight w:val="none"/>
        </w:rPr>
      </w:pPr>
      <w:r>
        <w:rPr>
          <w:rFonts w:hint="eastAsia" w:ascii="宋体" w:hAnsi="宋体"/>
          <w:b/>
          <w:color w:val="auto"/>
          <w:spacing w:val="20"/>
          <w:sz w:val="30"/>
          <w:szCs w:val="30"/>
          <w:highlight w:val="none"/>
        </w:rPr>
        <w:br w:type="page"/>
      </w:r>
    </w:p>
    <w:p>
      <w:pPr>
        <w:spacing w:line="360" w:lineRule="auto"/>
        <w:ind w:left="0" w:leftChars="0" w:firstLine="0" w:firstLineChars="0"/>
        <w:jc w:val="both"/>
        <w:rPr>
          <w:rFonts w:hint="eastAsia" w:ascii="宋体" w:hAnsi="宋体"/>
          <w:b/>
          <w:color w:val="auto"/>
          <w:spacing w:val="20"/>
          <w:sz w:val="30"/>
          <w:szCs w:val="30"/>
          <w:highlight w:val="none"/>
        </w:rPr>
      </w:pPr>
      <w:r>
        <w:rPr>
          <w:rFonts w:hint="eastAsia" w:ascii="宋体" w:hAnsi="宋体"/>
          <w:b/>
          <w:color w:val="auto"/>
          <w:spacing w:val="20"/>
          <w:sz w:val="30"/>
          <w:szCs w:val="30"/>
          <w:highlight w:val="none"/>
        </w:rPr>
        <w:br w:type="page"/>
      </w:r>
    </w:p>
    <w:p>
      <w:pPr>
        <w:spacing w:line="360" w:lineRule="auto"/>
        <w:ind w:left="0" w:leftChars="0" w:firstLine="0" w:firstLineChars="0"/>
        <w:jc w:val="both"/>
        <w:rPr>
          <w:rFonts w:hint="eastAsia" w:ascii="宋体" w:hAnsi="宋体"/>
          <w:b/>
          <w:color w:val="auto"/>
          <w:spacing w:val="20"/>
          <w:sz w:val="30"/>
          <w:szCs w:val="30"/>
          <w:highlight w:val="none"/>
        </w:rPr>
      </w:pPr>
    </w:p>
    <w:p>
      <w:pPr>
        <w:spacing w:line="360" w:lineRule="auto"/>
        <w:ind w:left="0" w:leftChars="0" w:firstLine="0" w:firstLineChars="0"/>
        <w:jc w:val="both"/>
        <w:rPr>
          <w:rFonts w:hint="eastAsia" w:ascii="宋体" w:hAnsi="宋体"/>
          <w:b/>
          <w:color w:val="auto"/>
          <w:spacing w:val="20"/>
          <w:sz w:val="30"/>
          <w:szCs w:val="30"/>
          <w:highlight w:val="none"/>
        </w:rPr>
      </w:pP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left="0" w:leftChars="0" w:right="0" w:rightChars="0" w:firstLine="0" w:firstLineChars="0"/>
        <w:jc w:val="center"/>
        <w:textAlignment w:val="auto"/>
        <w:outlineLvl w:val="9"/>
        <w:rPr>
          <w:rFonts w:hint="eastAsia" w:ascii="宋体" w:hAnsi="宋体"/>
          <w:b/>
          <w:bCs/>
          <w:color w:val="auto"/>
          <w:spacing w:val="20"/>
          <w:sz w:val="44"/>
          <w:szCs w:val="44"/>
          <w:highlight w:val="none"/>
          <w:lang w:eastAsia="zh-CN"/>
        </w:rPr>
      </w:pPr>
      <w:r>
        <w:rPr>
          <w:rFonts w:hint="eastAsia" w:ascii="宋体" w:hAnsi="宋体"/>
          <w:b/>
          <w:bCs/>
          <w:color w:val="auto"/>
          <w:spacing w:val="20"/>
          <w:sz w:val="44"/>
          <w:szCs w:val="44"/>
          <w:highlight w:val="none"/>
          <w:lang w:eastAsia="zh-CN"/>
        </w:rPr>
        <w:t>从化区温泉镇南大水库灌区</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left="0" w:leftChars="0" w:right="0" w:rightChars="0" w:firstLine="0" w:firstLineChars="0"/>
        <w:jc w:val="center"/>
        <w:textAlignment w:val="auto"/>
        <w:outlineLvl w:val="9"/>
        <w:rPr>
          <w:rFonts w:hint="eastAsia" w:ascii="宋体" w:hAnsi="宋体"/>
          <w:b/>
          <w:bCs/>
          <w:color w:val="auto"/>
          <w:spacing w:val="20"/>
          <w:sz w:val="44"/>
          <w:szCs w:val="44"/>
          <w:highlight w:val="none"/>
          <w:lang w:eastAsia="zh-CN"/>
        </w:rPr>
      </w:pPr>
      <w:r>
        <w:rPr>
          <w:rFonts w:hint="eastAsia" w:ascii="宋体" w:hAnsi="宋体"/>
          <w:b/>
          <w:bCs/>
          <w:color w:val="auto"/>
          <w:spacing w:val="20"/>
          <w:sz w:val="44"/>
          <w:szCs w:val="44"/>
          <w:highlight w:val="none"/>
          <w:lang w:eastAsia="zh-CN"/>
        </w:rPr>
        <w:t>（桃莲段）改造工程</w:t>
      </w:r>
    </w:p>
    <w:p>
      <w:pPr>
        <w:ind w:firstLine="560"/>
        <w:jc w:val="center"/>
        <w:rPr>
          <w:rFonts w:hint="eastAsia"/>
          <w:color w:val="auto"/>
          <w:sz w:val="28"/>
          <w:szCs w:val="28"/>
          <w:highlight w:val="none"/>
        </w:rPr>
      </w:pPr>
      <w:r>
        <w:rPr>
          <w:rFonts w:hint="eastAsia"/>
          <w:color w:val="auto"/>
          <w:sz w:val="28"/>
          <w:szCs w:val="28"/>
          <w:highlight w:val="none"/>
        </w:rPr>
        <w:t xml:space="preserve"> </w:t>
      </w:r>
    </w:p>
    <w:p>
      <w:pPr>
        <w:ind w:firstLine="560"/>
        <w:jc w:val="center"/>
        <w:rPr>
          <w:rFonts w:hint="eastAsia"/>
          <w:color w:val="auto"/>
          <w:sz w:val="28"/>
          <w:szCs w:val="28"/>
          <w:highlight w:val="none"/>
        </w:rPr>
      </w:pPr>
    </w:p>
    <w:p>
      <w:pPr>
        <w:ind w:firstLine="643"/>
        <w:jc w:val="center"/>
        <w:rPr>
          <w:rFonts w:hint="eastAsia"/>
          <w:b/>
          <w:color w:val="auto"/>
          <w:sz w:val="32"/>
          <w:szCs w:val="32"/>
          <w:highlight w:val="none"/>
        </w:rPr>
      </w:pPr>
    </w:p>
    <w:p>
      <w:pPr>
        <w:ind w:left="0" w:leftChars="0" w:firstLine="0" w:firstLineChars="0"/>
        <w:jc w:val="center"/>
        <w:rPr>
          <w:rFonts w:hint="eastAsia"/>
          <w:b/>
          <w:color w:val="auto"/>
          <w:sz w:val="52"/>
          <w:szCs w:val="52"/>
          <w:highlight w:val="none"/>
        </w:rPr>
      </w:pPr>
      <w:r>
        <w:rPr>
          <w:rFonts w:hint="eastAsia"/>
          <w:b/>
          <w:color w:val="auto"/>
          <w:sz w:val="52"/>
          <w:szCs w:val="52"/>
          <w:highlight w:val="none"/>
        </w:rPr>
        <w:t>初步设计报告</w:t>
      </w:r>
    </w:p>
    <w:p>
      <w:pPr>
        <w:ind w:left="1680" w:leftChars="700" w:firstLine="960" w:firstLineChars="300"/>
        <w:rPr>
          <w:rFonts w:hint="eastAsia"/>
          <w:color w:val="auto"/>
          <w:sz w:val="32"/>
          <w:szCs w:val="32"/>
          <w:highlight w:val="none"/>
        </w:rPr>
      </w:pPr>
    </w:p>
    <w:p>
      <w:pPr>
        <w:ind w:left="1680" w:leftChars="700" w:firstLine="960" w:firstLineChars="300"/>
        <w:rPr>
          <w:rFonts w:hint="eastAsia"/>
          <w:color w:val="auto"/>
          <w:sz w:val="32"/>
          <w:szCs w:val="32"/>
          <w:highlight w:val="none"/>
        </w:rPr>
      </w:pPr>
    </w:p>
    <w:p>
      <w:pPr>
        <w:ind w:left="1680" w:leftChars="700" w:firstLine="960" w:firstLineChars="300"/>
        <w:rPr>
          <w:rFonts w:hint="eastAsia"/>
          <w:color w:val="auto"/>
          <w:sz w:val="32"/>
          <w:szCs w:val="32"/>
          <w:highlight w:val="none"/>
        </w:rPr>
      </w:pPr>
    </w:p>
    <w:p>
      <w:pPr>
        <w:ind w:left="1680" w:leftChars="700" w:firstLine="960" w:firstLineChars="300"/>
        <w:rPr>
          <w:rFonts w:hint="eastAsia"/>
          <w:color w:val="auto"/>
          <w:sz w:val="32"/>
          <w:szCs w:val="32"/>
          <w:highlight w:val="none"/>
        </w:rPr>
      </w:pPr>
      <w:r>
        <w:rPr>
          <w:rFonts w:hint="eastAsia"/>
          <w:color w:val="auto"/>
          <w:sz w:val="32"/>
          <w:szCs w:val="32"/>
          <w:highlight w:val="none"/>
        </w:rPr>
        <w:t>审定：赖远新  高级工程师</w:t>
      </w:r>
    </w:p>
    <w:p>
      <w:pPr>
        <w:ind w:left="1680" w:leftChars="700" w:firstLine="960" w:firstLineChars="300"/>
        <w:rPr>
          <w:rFonts w:hint="eastAsia" w:eastAsia="宋体"/>
          <w:color w:val="auto"/>
          <w:sz w:val="32"/>
          <w:szCs w:val="32"/>
          <w:highlight w:val="none"/>
          <w:lang w:eastAsia="zh-CN"/>
        </w:rPr>
      </w:pPr>
    </w:p>
    <w:p>
      <w:pPr>
        <w:ind w:left="1680" w:leftChars="700" w:firstLine="960" w:firstLineChars="300"/>
        <w:rPr>
          <w:rFonts w:hint="eastAsia"/>
          <w:color w:val="auto"/>
          <w:sz w:val="32"/>
          <w:szCs w:val="32"/>
          <w:highlight w:val="none"/>
        </w:rPr>
      </w:pPr>
      <w:r>
        <w:rPr>
          <w:rFonts w:hint="eastAsia"/>
          <w:color w:val="auto"/>
          <w:sz w:val="32"/>
          <w:szCs w:val="32"/>
          <w:highlight w:val="none"/>
        </w:rPr>
        <w:t>校核：叶小建  高级工程师</w:t>
      </w:r>
    </w:p>
    <w:p>
      <w:pPr>
        <w:ind w:left="1680" w:leftChars="700" w:firstLine="960" w:firstLineChars="300"/>
        <w:rPr>
          <w:rFonts w:hint="eastAsia"/>
          <w:color w:val="auto"/>
          <w:sz w:val="32"/>
          <w:szCs w:val="32"/>
          <w:highlight w:val="none"/>
        </w:rPr>
      </w:pPr>
    </w:p>
    <w:p>
      <w:pPr>
        <w:ind w:left="1680" w:leftChars="700" w:firstLine="960" w:firstLineChars="300"/>
        <w:rPr>
          <w:rFonts w:hint="eastAsia"/>
          <w:color w:val="auto"/>
          <w:sz w:val="32"/>
          <w:szCs w:val="32"/>
          <w:highlight w:val="none"/>
        </w:rPr>
      </w:pPr>
      <w:r>
        <w:rPr>
          <w:rFonts w:hint="eastAsia"/>
          <w:color w:val="auto"/>
          <w:sz w:val="32"/>
          <w:szCs w:val="32"/>
          <w:highlight w:val="none"/>
        </w:rPr>
        <w:t>编制：</w:t>
      </w:r>
      <w:r>
        <w:rPr>
          <w:rFonts w:hint="eastAsia"/>
          <w:color w:val="auto"/>
          <w:sz w:val="32"/>
          <w:szCs w:val="32"/>
          <w:highlight w:val="none"/>
          <w:lang w:eastAsia="zh-CN"/>
        </w:rPr>
        <w:t>谭健敏</w:t>
      </w:r>
      <w:r>
        <w:rPr>
          <w:rFonts w:hint="eastAsia"/>
          <w:color w:val="auto"/>
          <w:sz w:val="32"/>
          <w:szCs w:val="32"/>
          <w:highlight w:val="none"/>
        </w:rPr>
        <w:t xml:space="preserve">  工程师</w:t>
      </w:r>
    </w:p>
    <w:p>
      <w:pPr>
        <w:ind w:left="1680" w:leftChars="700" w:firstLine="1440"/>
        <w:rPr>
          <w:rFonts w:hint="eastAsia"/>
          <w:color w:val="auto"/>
          <w:sz w:val="72"/>
          <w:szCs w:val="72"/>
          <w:highlight w:val="none"/>
        </w:rPr>
      </w:pPr>
    </w:p>
    <w:p>
      <w:pPr>
        <w:ind w:left="1680" w:leftChars="700" w:firstLine="1440"/>
        <w:rPr>
          <w:rFonts w:hint="eastAsia"/>
          <w:color w:val="auto"/>
          <w:sz w:val="72"/>
          <w:szCs w:val="72"/>
          <w:highlight w:val="none"/>
        </w:rPr>
      </w:pPr>
    </w:p>
    <w:p>
      <w:pPr>
        <w:ind w:firstLine="560"/>
        <w:jc w:val="center"/>
        <w:rPr>
          <w:rStyle w:val="425"/>
          <w:rFonts w:hint="eastAsia"/>
          <w:color w:val="auto"/>
          <w:sz w:val="28"/>
          <w:szCs w:val="28"/>
          <w:highlight w:val="none"/>
        </w:rPr>
      </w:pPr>
      <w:r>
        <w:rPr>
          <w:rStyle w:val="425"/>
          <w:rFonts w:hint="eastAsia"/>
          <w:color w:val="auto"/>
          <w:sz w:val="28"/>
          <w:szCs w:val="28"/>
          <w:highlight w:val="none"/>
        </w:rPr>
        <w:t>广东海纳工程管理咨询有限公司</w:t>
      </w:r>
    </w:p>
    <w:p>
      <w:pPr>
        <w:spacing w:line="360" w:lineRule="auto"/>
        <w:ind w:firstLine="560"/>
        <w:jc w:val="center"/>
        <w:rPr>
          <w:rFonts w:hint="eastAsia" w:ascii="宋体" w:hAnsi="宋体" w:eastAsia="宋体"/>
          <w:color w:val="auto"/>
          <w:sz w:val="28"/>
          <w:szCs w:val="28"/>
          <w:highlight w:val="none"/>
          <w:lang w:eastAsia="zh-CN"/>
        </w:rPr>
      </w:pPr>
      <w:r>
        <w:rPr>
          <w:rFonts w:hint="eastAsia" w:ascii="宋体" w:hAnsi="宋体"/>
          <w:color w:val="auto"/>
          <w:sz w:val="28"/>
          <w:szCs w:val="28"/>
          <w:highlight w:val="none"/>
          <w:lang w:eastAsia="zh-CN"/>
        </w:rPr>
        <w:t>202</w:t>
      </w:r>
      <w:r>
        <w:rPr>
          <w:rFonts w:hint="eastAsia" w:ascii="宋体" w:hAnsi="宋体"/>
          <w:color w:val="auto"/>
          <w:sz w:val="28"/>
          <w:szCs w:val="28"/>
          <w:highlight w:val="none"/>
          <w:lang w:val="en-US" w:eastAsia="zh-CN"/>
        </w:rPr>
        <w:t>3</w:t>
      </w:r>
      <w:r>
        <w:rPr>
          <w:rFonts w:hint="eastAsia" w:ascii="宋体" w:hAnsi="宋体"/>
          <w:color w:val="auto"/>
          <w:sz w:val="28"/>
          <w:szCs w:val="28"/>
          <w:highlight w:val="none"/>
          <w:lang w:eastAsia="zh-CN"/>
        </w:rPr>
        <w:t>年</w:t>
      </w:r>
      <w:r>
        <w:rPr>
          <w:rFonts w:hint="eastAsia" w:ascii="宋体" w:hAnsi="宋体"/>
          <w:color w:val="auto"/>
          <w:sz w:val="28"/>
          <w:szCs w:val="28"/>
          <w:highlight w:val="none"/>
          <w:lang w:val="en-US" w:eastAsia="zh-CN"/>
        </w:rPr>
        <w:t>5</w:t>
      </w:r>
      <w:r>
        <w:rPr>
          <w:rFonts w:hint="eastAsia" w:ascii="宋体" w:hAnsi="宋体"/>
          <w:color w:val="auto"/>
          <w:sz w:val="28"/>
          <w:szCs w:val="28"/>
          <w:highlight w:val="none"/>
          <w:lang w:eastAsia="zh-CN"/>
        </w:rPr>
        <w:t>月</w:t>
      </w:r>
    </w:p>
    <w:p>
      <w:pPr>
        <w:spacing w:line="360" w:lineRule="auto"/>
        <w:ind w:left="0" w:leftChars="0" w:firstLine="0" w:firstLineChars="0"/>
        <w:jc w:val="both"/>
        <w:rPr>
          <w:b/>
          <w:color w:val="auto"/>
          <w:sz w:val="44"/>
          <w:szCs w:val="44"/>
          <w:highlight w:val="none"/>
        </w:rPr>
      </w:pPr>
      <w:r>
        <w:rPr>
          <w:b/>
          <w:color w:val="auto"/>
          <w:sz w:val="44"/>
          <w:szCs w:val="44"/>
          <w:highlight w:val="none"/>
        </w:rPr>
        <w:br w:type="page"/>
      </w:r>
      <w:r>
        <w:rPr>
          <w:b/>
          <w:color w:val="auto"/>
          <w:sz w:val="44"/>
          <w:szCs w:val="44"/>
          <w:highlight w:val="none"/>
        </w:rPr>
        <w:br w:type="page"/>
      </w:r>
      <w:r>
        <w:rPr>
          <w:b/>
          <w:color w:val="auto"/>
          <w:sz w:val="44"/>
          <w:szCs w:val="44"/>
          <w:highlight w:val="none"/>
        </w:rPr>
        <w:drawing>
          <wp:inline distT="0" distB="0" distL="114300" distR="114300">
            <wp:extent cx="5271135" cy="7449820"/>
            <wp:effectExtent l="0" t="0" r="5715" b="17780"/>
            <wp:docPr id="107" name="图片 53" descr="广东海纳工程设计资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53" descr="广东海纳工程设计资质"/>
                    <pic:cNvPicPr>
                      <a:picLocks noChangeAspect="1"/>
                    </pic:cNvPicPr>
                  </pic:nvPicPr>
                  <pic:blipFill>
                    <a:blip r:embed="rId17"/>
                    <a:stretch>
                      <a:fillRect/>
                    </a:stretch>
                  </pic:blipFill>
                  <pic:spPr>
                    <a:xfrm>
                      <a:off x="0" y="0"/>
                      <a:ext cx="5271135" cy="7449820"/>
                    </a:xfrm>
                    <a:prstGeom prst="rect">
                      <a:avLst/>
                    </a:prstGeom>
                    <a:noFill/>
                    <a:ln w="9525">
                      <a:noFill/>
                    </a:ln>
                  </pic:spPr>
                </pic:pic>
              </a:graphicData>
            </a:graphic>
          </wp:inline>
        </w:drawing>
      </w:r>
    </w:p>
    <w:p>
      <w:pPr>
        <w:spacing w:line="360" w:lineRule="auto"/>
        <w:ind w:left="0" w:leftChars="0" w:firstLine="0" w:firstLineChars="0"/>
        <w:jc w:val="both"/>
        <w:rPr>
          <w:b/>
          <w:color w:val="auto"/>
          <w:sz w:val="44"/>
          <w:szCs w:val="44"/>
          <w:highlight w:val="none"/>
        </w:rPr>
        <w:sectPr>
          <w:headerReference r:id="rId3" w:type="default"/>
          <w:footerReference r:id="rId4"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AndChars" w:linePitch="312" w:charSpace="0"/>
        </w:sectPr>
      </w:pPr>
      <w:r>
        <w:rPr>
          <w:b/>
          <w:color w:val="auto"/>
          <w:sz w:val="44"/>
          <w:szCs w:val="44"/>
          <w:highlight w:val="none"/>
        </w:rPr>
        <w:br w:type="page"/>
      </w:r>
    </w:p>
    <w:p>
      <w:pPr>
        <w:rPr>
          <w:color w:val="auto"/>
          <w:highlight w:val="none"/>
        </w:rPr>
      </w:pPr>
      <w:r>
        <w:rPr>
          <w:color w:val="auto"/>
          <w:highlight w:val="none"/>
        </w:rPr>
        <w:br w:type="page"/>
      </w:r>
    </w:p>
    <w:p>
      <w:pPr>
        <w:rPr>
          <w:color w:val="auto"/>
        </w:rPr>
      </w:pPr>
      <w:r>
        <w:rPr>
          <w:color w:val="auto"/>
        </w:rPr>
        <w:drawing>
          <wp:inline distT="0" distB="0" distL="114300" distR="114300">
            <wp:extent cx="5681980" cy="6363970"/>
            <wp:effectExtent l="0" t="0" r="13970" b="17780"/>
            <wp:docPr id="2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4"/>
                    <pic:cNvPicPr>
                      <a:picLocks noChangeAspect="1"/>
                    </pic:cNvPicPr>
                  </pic:nvPicPr>
                  <pic:blipFill>
                    <a:blip r:embed="rId18"/>
                    <a:stretch>
                      <a:fillRect/>
                    </a:stretch>
                  </pic:blipFill>
                  <pic:spPr>
                    <a:xfrm>
                      <a:off x="0" y="0"/>
                      <a:ext cx="5681980" cy="6363970"/>
                    </a:xfrm>
                    <a:prstGeom prst="rect">
                      <a:avLst/>
                    </a:prstGeom>
                    <a:noFill/>
                    <a:ln>
                      <a:noFill/>
                    </a:ln>
                  </pic:spPr>
                </pic:pic>
              </a:graphicData>
            </a:graphic>
          </wp:inline>
        </w:drawing>
      </w:r>
    </w:p>
    <w:p>
      <w:pPr>
        <w:rPr>
          <w:color w:val="auto"/>
        </w:rPr>
      </w:pPr>
      <w:r>
        <w:rPr>
          <w:color w:val="auto"/>
        </w:rPr>
        <w:br w:type="page"/>
      </w:r>
    </w:p>
    <w:p>
      <w:pPr>
        <w:rPr>
          <w:color w:val="auto"/>
        </w:rPr>
        <w:sectPr>
          <w:pgSz w:w="11906" w:h="16838"/>
          <w:pgMar w:top="1440" w:right="1247" w:bottom="1440" w:left="1701" w:header="851" w:footer="992" w:gutter="0"/>
          <w:pgBorders>
            <w:top w:val="none" w:sz="0" w:space="0"/>
            <w:left w:val="none" w:sz="0" w:space="0"/>
            <w:bottom w:val="none" w:sz="0" w:space="0"/>
            <w:right w:val="none" w:sz="0" w:space="0"/>
          </w:pgBorders>
          <w:cols w:space="425" w:num="1"/>
          <w:docGrid w:linePitch="312" w:charSpace="0"/>
        </w:sectPr>
      </w:pPr>
      <w:r>
        <w:rPr>
          <w:color w:val="auto"/>
        </w:rPr>
        <w:drawing>
          <wp:inline distT="0" distB="0" distL="114300" distR="114300">
            <wp:extent cx="5029200" cy="6934200"/>
            <wp:effectExtent l="0" t="0" r="0" b="0"/>
            <wp:docPr id="3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5"/>
                    <pic:cNvPicPr>
                      <a:picLocks noChangeAspect="1"/>
                    </pic:cNvPicPr>
                  </pic:nvPicPr>
                  <pic:blipFill>
                    <a:blip r:embed="rId19"/>
                    <a:stretch>
                      <a:fillRect/>
                    </a:stretch>
                  </pic:blipFill>
                  <pic:spPr>
                    <a:xfrm>
                      <a:off x="0" y="0"/>
                      <a:ext cx="5029200" cy="6934200"/>
                    </a:xfrm>
                    <a:prstGeom prst="rect">
                      <a:avLst/>
                    </a:prstGeom>
                    <a:noFill/>
                    <a:ln>
                      <a:noFill/>
                    </a:ln>
                  </pic:spPr>
                </pic:pic>
              </a:graphicData>
            </a:graphic>
          </wp:inline>
        </w:drawing>
      </w:r>
    </w:p>
    <w:sdt>
      <w:sdtPr>
        <w:rPr>
          <w:rFonts w:ascii="Times New Roman" w:hAnsi="Times New Roman" w:eastAsia="宋体" w:cs="Times New Roman"/>
          <w:b/>
          <w:bCs w:val="0"/>
          <w:color w:val="auto"/>
          <w:kern w:val="2"/>
          <w:sz w:val="21"/>
          <w:szCs w:val="24"/>
          <w:highlight w:val="none"/>
          <w:lang w:val="zh-CN"/>
        </w:rPr>
        <w:id w:val="1035388288"/>
      </w:sdtPr>
      <w:sdtEndPr>
        <w:rPr>
          <w:rFonts w:ascii="Times New Roman" w:hAnsi="Times New Roman" w:eastAsia="宋体" w:cs="Times New Roman"/>
          <w:b w:val="0"/>
          <w:bCs w:val="0"/>
          <w:color w:val="auto"/>
          <w:kern w:val="2"/>
          <w:sz w:val="24"/>
          <w:szCs w:val="24"/>
          <w:highlight w:val="none"/>
          <w:lang w:val="zh-CN"/>
        </w:rPr>
      </w:sdtEndPr>
      <w:sdtContent>
        <w:p>
          <w:pPr>
            <w:pStyle w:val="378"/>
            <w:ind w:firstLine="420"/>
            <w:jc w:val="center"/>
            <w:rPr>
              <w:b/>
              <w:bCs w:val="0"/>
              <w:color w:val="auto"/>
              <w:sz w:val="28"/>
              <w:szCs w:val="28"/>
              <w:highlight w:val="none"/>
            </w:rPr>
          </w:pPr>
          <w:bookmarkStart w:id="3" w:name="bOrderNo"/>
          <w:bookmarkEnd w:id="3"/>
          <w:bookmarkStart w:id="4" w:name="_Toc536295007"/>
          <w:r>
            <w:rPr>
              <w:b/>
              <w:bCs w:val="0"/>
              <w:color w:val="auto"/>
              <w:sz w:val="28"/>
              <w:szCs w:val="28"/>
              <w:highlight w:val="none"/>
              <w:lang w:val="zh-CN"/>
            </w:rPr>
            <w:t>目录</w:t>
          </w:r>
        </w:p>
        <w:p>
          <w:pPr>
            <w:pStyle w:val="32"/>
            <w:tabs>
              <w:tab w:val="right" w:leader="dot" w:pos="8958"/>
            </w:tabs>
            <w:rPr>
              <w:color w:val="auto"/>
            </w:rPr>
          </w:pPr>
          <w:r>
            <w:rPr>
              <w:b w:val="0"/>
              <w:bCs w:val="0"/>
              <w:caps w:val="0"/>
              <w:color w:val="auto"/>
              <w:sz w:val="24"/>
              <w:szCs w:val="24"/>
              <w:highlight w:val="none"/>
            </w:rPr>
            <w:fldChar w:fldCharType="begin"/>
          </w:r>
          <w:r>
            <w:rPr>
              <w:b w:val="0"/>
              <w:bCs w:val="0"/>
              <w:caps w:val="0"/>
              <w:color w:val="auto"/>
              <w:sz w:val="24"/>
              <w:szCs w:val="24"/>
              <w:highlight w:val="none"/>
            </w:rPr>
            <w:instrText xml:space="preserve"> TOC \o "1-2" \h \z \u </w:instrText>
          </w:r>
          <w:r>
            <w:rPr>
              <w:b w:val="0"/>
              <w:bCs w:val="0"/>
              <w:caps w:val="0"/>
              <w:color w:val="auto"/>
              <w:sz w:val="24"/>
              <w:szCs w:val="24"/>
              <w:highlight w:val="none"/>
            </w:rPr>
            <w:fldChar w:fldCharType="separate"/>
          </w:r>
          <w:r>
            <w:rPr>
              <w:bCs w:val="0"/>
              <w:caps w:val="0"/>
              <w:color w:val="auto"/>
              <w:szCs w:val="24"/>
              <w:highlight w:val="none"/>
            </w:rPr>
            <w:fldChar w:fldCharType="begin"/>
          </w:r>
          <w:r>
            <w:rPr>
              <w:bCs w:val="0"/>
              <w:caps w:val="0"/>
              <w:color w:val="auto"/>
              <w:szCs w:val="24"/>
              <w:highlight w:val="none"/>
            </w:rPr>
            <w:instrText xml:space="preserve"> HYPERLINK \l _Toc23393 </w:instrText>
          </w:r>
          <w:r>
            <w:rPr>
              <w:bCs w:val="0"/>
              <w:caps w:val="0"/>
              <w:color w:val="auto"/>
              <w:szCs w:val="24"/>
              <w:highlight w:val="none"/>
            </w:rPr>
            <w:fldChar w:fldCharType="separate"/>
          </w:r>
          <w:r>
            <w:rPr>
              <w:rFonts w:hint="eastAsia"/>
              <w:color w:val="auto"/>
              <w:highlight w:val="none"/>
            </w:rPr>
            <w:t xml:space="preserve">1 </w:t>
          </w:r>
          <w:r>
            <w:rPr>
              <w:rFonts w:hint="eastAsia"/>
              <w:color w:val="auto"/>
              <w:highlight w:val="none"/>
              <w:lang w:val="en-US" w:eastAsia="zh-CN"/>
            </w:rPr>
            <w:t xml:space="preserve"> </w:t>
          </w:r>
          <w:r>
            <w:rPr>
              <w:rFonts w:hint="eastAsia"/>
              <w:color w:val="auto"/>
              <w:highlight w:val="none"/>
            </w:rPr>
            <w:t>综合说明</w:t>
          </w:r>
          <w:r>
            <w:rPr>
              <w:color w:val="auto"/>
            </w:rPr>
            <w:tab/>
          </w:r>
          <w:r>
            <w:rPr>
              <w:color w:val="auto"/>
            </w:rPr>
            <w:fldChar w:fldCharType="begin"/>
          </w:r>
          <w:r>
            <w:rPr>
              <w:color w:val="auto"/>
            </w:rPr>
            <w:instrText xml:space="preserve"> PAGEREF _Toc23393 </w:instrText>
          </w:r>
          <w:r>
            <w:rPr>
              <w:color w:val="auto"/>
            </w:rPr>
            <w:fldChar w:fldCharType="separate"/>
          </w:r>
          <w:r>
            <w:rPr>
              <w:color w:val="auto"/>
            </w:rPr>
            <w:t>1</w:t>
          </w:r>
          <w:r>
            <w:rPr>
              <w:color w:val="auto"/>
            </w:rPr>
            <w:fldChar w:fldCharType="end"/>
          </w:r>
          <w:r>
            <w:rPr>
              <w:bCs w:val="0"/>
              <w:caps w:val="0"/>
              <w:color w:val="auto"/>
              <w:szCs w:val="24"/>
              <w:highlight w:val="none"/>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_Toc17902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1.1 概况</w:t>
          </w:r>
          <w:r>
            <w:rPr>
              <w:color w:val="auto"/>
            </w:rPr>
            <w:tab/>
          </w:r>
          <w:r>
            <w:rPr>
              <w:color w:val="auto"/>
            </w:rPr>
            <w:fldChar w:fldCharType="begin"/>
          </w:r>
          <w:r>
            <w:rPr>
              <w:color w:val="auto"/>
            </w:rPr>
            <w:instrText xml:space="preserve"> PAGEREF _Toc17902 </w:instrText>
          </w:r>
          <w:r>
            <w:rPr>
              <w:color w:val="auto"/>
            </w:rPr>
            <w:fldChar w:fldCharType="separate"/>
          </w:r>
          <w:r>
            <w:rPr>
              <w:color w:val="auto"/>
            </w:rPr>
            <w:t>1</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_Toc14574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 xml:space="preserve">1.2 </w:t>
          </w:r>
          <w:r>
            <w:rPr>
              <w:rFonts w:hint="eastAsia"/>
              <w:color w:val="auto"/>
              <w:highlight w:val="none"/>
              <w:lang w:eastAsia="zh-CN"/>
            </w:rPr>
            <w:t>水文</w:t>
          </w:r>
          <w:r>
            <w:rPr>
              <w:color w:val="auto"/>
            </w:rPr>
            <w:tab/>
          </w:r>
          <w:r>
            <w:rPr>
              <w:color w:val="auto"/>
            </w:rPr>
            <w:fldChar w:fldCharType="begin"/>
          </w:r>
          <w:r>
            <w:rPr>
              <w:color w:val="auto"/>
            </w:rPr>
            <w:instrText xml:space="preserve"> PAGEREF _Toc14574 </w:instrText>
          </w:r>
          <w:r>
            <w:rPr>
              <w:color w:val="auto"/>
            </w:rPr>
            <w:fldChar w:fldCharType="separate"/>
          </w:r>
          <w:r>
            <w:rPr>
              <w:color w:val="auto"/>
            </w:rPr>
            <w:t>1</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_Toc25256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1.3 工程地质</w:t>
          </w:r>
          <w:r>
            <w:rPr>
              <w:color w:val="auto"/>
            </w:rPr>
            <w:tab/>
          </w:r>
          <w:r>
            <w:rPr>
              <w:color w:val="auto"/>
            </w:rPr>
            <w:fldChar w:fldCharType="begin"/>
          </w:r>
          <w:r>
            <w:rPr>
              <w:color w:val="auto"/>
            </w:rPr>
            <w:instrText xml:space="preserve"> PAGEREF _Toc25256 </w:instrText>
          </w:r>
          <w:r>
            <w:rPr>
              <w:color w:val="auto"/>
            </w:rPr>
            <w:fldChar w:fldCharType="separate"/>
          </w:r>
          <w:r>
            <w:rPr>
              <w:color w:val="auto"/>
            </w:rPr>
            <w:t>5</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_Toc19770 </w:instrText>
          </w:r>
          <w:r>
            <w:rPr>
              <w:rFonts w:ascii="Times New Roman" w:hAnsi="Times New Roman" w:eastAsia="黑体" w:cs="Times New Roman"/>
              <w:bCs/>
              <w:caps/>
              <w:color w:val="auto"/>
              <w:kern w:val="2"/>
              <w:szCs w:val="24"/>
              <w:highlight w:val="none"/>
              <w:lang w:val="en-US" w:eastAsia="zh-CN" w:bidi="ar-SA"/>
            </w:rPr>
            <w:fldChar w:fldCharType="separate"/>
          </w:r>
          <w:r>
            <w:rPr>
              <w:color w:val="auto"/>
              <w:highlight w:val="none"/>
            </w:rPr>
            <w:t>1.</w:t>
          </w:r>
          <w:r>
            <w:rPr>
              <w:rFonts w:hint="eastAsia"/>
              <w:color w:val="auto"/>
              <w:highlight w:val="none"/>
            </w:rPr>
            <w:t>4</w:t>
          </w:r>
          <w:r>
            <w:rPr>
              <w:color w:val="auto"/>
              <w:highlight w:val="none"/>
            </w:rPr>
            <w:t xml:space="preserve"> </w:t>
          </w:r>
          <w:r>
            <w:rPr>
              <w:rFonts w:hint="eastAsia"/>
              <w:color w:val="auto"/>
              <w:highlight w:val="none"/>
            </w:rPr>
            <w:t>工程任务及</w:t>
          </w:r>
          <w:r>
            <w:rPr>
              <w:color w:val="auto"/>
              <w:highlight w:val="none"/>
            </w:rPr>
            <w:t>规模</w:t>
          </w:r>
          <w:r>
            <w:rPr>
              <w:color w:val="auto"/>
            </w:rPr>
            <w:tab/>
          </w:r>
          <w:r>
            <w:rPr>
              <w:color w:val="auto"/>
            </w:rPr>
            <w:fldChar w:fldCharType="begin"/>
          </w:r>
          <w:r>
            <w:rPr>
              <w:color w:val="auto"/>
            </w:rPr>
            <w:instrText xml:space="preserve"> PAGEREF _Toc19770 </w:instrText>
          </w:r>
          <w:r>
            <w:rPr>
              <w:color w:val="auto"/>
            </w:rPr>
            <w:fldChar w:fldCharType="separate"/>
          </w:r>
          <w:r>
            <w:rPr>
              <w:color w:val="auto"/>
            </w:rPr>
            <w:t>6</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_Toc18040 </w:instrText>
          </w:r>
          <w:r>
            <w:rPr>
              <w:rFonts w:ascii="Times New Roman" w:hAnsi="Times New Roman" w:eastAsia="黑体" w:cs="Times New Roman"/>
              <w:bCs/>
              <w:caps/>
              <w:color w:val="auto"/>
              <w:kern w:val="2"/>
              <w:szCs w:val="24"/>
              <w:highlight w:val="none"/>
              <w:lang w:val="en-US" w:eastAsia="zh-CN" w:bidi="ar-SA"/>
            </w:rPr>
            <w:fldChar w:fldCharType="separate"/>
          </w:r>
          <w:r>
            <w:rPr>
              <w:color w:val="auto"/>
              <w:highlight w:val="none"/>
            </w:rPr>
            <w:t>1.</w:t>
          </w:r>
          <w:r>
            <w:rPr>
              <w:rFonts w:hint="eastAsia"/>
              <w:color w:val="auto"/>
              <w:highlight w:val="none"/>
            </w:rPr>
            <w:t>5</w:t>
          </w:r>
          <w:r>
            <w:rPr>
              <w:color w:val="auto"/>
              <w:highlight w:val="none"/>
            </w:rPr>
            <w:t xml:space="preserve"> 工程布置及建筑物</w:t>
          </w:r>
          <w:r>
            <w:rPr>
              <w:color w:val="auto"/>
            </w:rPr>
            <w:tab/>
          </w:r>
          <w:r>
            <w:rPr>
              <w:color w:val="auto"/>
            </w:rPr>
            <w:fldChar w:fldCharType="begin"/>
          </w:r>
          <w:r>
            <w:rPr>
              <w:color w:val="auto"/>
            </w:rPr>
            <w:instrText xml:space="preserve"> PAGEREF _Toc18040 </w:instrText>
          </w:r>
          <w:r>
            <w:rPr>
              <w:color w:val="auto"/>
            </w:rPr>
            <w:fldChar w:fldCharType="separate"/>
          </w:r>
          <w:r>
            <w:rPr>
              <w:color w:val="auto"/>
            </w:rPr>
            <w:t>11</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_Toc8013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1.</w:t>
          </w:r>
          <w:r>
            <w:rPr>
              <w:rFonts w:hint="eastAsia"/>
              <w:color w:val="auto"/>
              <w:highlight w:val="none"/>
              <w:lang w:val="en-US" w:eastAsia="zh-CN"/>
            </w:rPr>
            <w:t>6</w:t>
          </w:r>
          <w:r>
            <w:rPr>
              <w:rFonts w:hint="eastAsia"/>
              <w:color w:val="auto"/>
              <w:highlight w:val="none"/>
            </w:rPr>
            <w:t xml:space="preserve"> 消防设计</w:t>
          </w:r>
          <w:r>
            <w:rPr>
              <w:color w:val="auto"/>
            </w:rPr>
            <w:tab/>
          </w:r>
          <w:r>
            <w:rPr>
              <w:color w:val="auto"/>
            </w:rPr>
            <w:fldChar w:fldCharType="begin"/>
          </w:r>
          <w:r>
            <w:rPr>
              <w:color w:val="auto"/>
            </w:rPr>
            <w:instrText xml:space="preserve"> PAGEREF _Toc8013 </w:instrText>
          </w:r>
          <w:r>
            <w:rPr>
              <w:color w:val="auto"/>
            </w:rPr>
            <w:fldChar w:fldCharType="separate"/>
          </w:r>
          <w:r>
            <w:rPr>
              <w:color w:val="auto"/>
            </w:rPr>
            <w:t>13</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_Toc14541 </w:instrText>
          </w:r>
          <w:r>
            <w:rPr>
              <w:rFonts w:ascii="Times New Roman" w:hAnsi="Times New Roman" w:eastAsia="黑体" w:cs="Times New Roman"/>
              <w:bCs/>
              <w:caps/>
              <w:color w:val="auto"/>
              <w:kern w:val="2"/>
              <w:szCs w:val="24"/>
              <w:highlight w:val="none"/>
              <w:lang w:val="en-US" w:eastAsia="zh-CN" w:bidi="ar-SA"/>
            </w:rPr>
            <w:fldChar w:fldCharType="separate"/>
          </w:r>
          <w:r>
            <w:rPr>
              <w:color w:val="auto"/>
              <w:highlight w:val="none"/>
            </w:rPr>
            <w:t>1.</w:t>
          </w:r>
          <w:r>
            <w:rPr>
              <w:rFonts w:hint="eastAsia"/>
              <w:color w:val="auto"/>
              <w:highlight w:val="none"/>
              <w:lang w:val="en-US" w:eastAsia="zh-CN"/>
            </w:rPr>
            <w:t>7</w:t>
          </w:r>
          <w:r>
            <w:rPr>
              <w:color w:val="auto"/>
              <w:highlight w:val="none"/>
            </w:rPr>
            <w:t xml:space="preserve"> </w:t>
          </w:r>
          <w:r>
            <w:rPr>
              <w:rFonts w:hint="eastAsia"/>
              <w:color w:val="auto"/>
              <w:highlight w:val="none"/>
            </w:rPr>
            <w:t>施工组织设计</w:t>
          </w:r>
          <w:r>
            <w:rPr>
              <w:color w:val="auto"/>
            </w:rPr>
            <w:tab/>
          </w:r>
          <w:r>
            <w:rPr>
              <w:color w:val="auto"/>
            </w:rPr>
            <w:fldChar w:fldCharType="begin"/>
          </w:r>
          <w:r>
            <w:rPr>
              <w:color w:val="auto"/>
            </w:rPr>
            <w:instrText xml:space="preserve"> PAGEREF _Toc14541 </w:instrText>
          </w:r>
          <w:r>
            <w:rPr>
              <w:color w:val="auto"/>
            </w:rPr>
            <w:fldChar w:fldCharType="separate"/>
          </w:r>
          <w:r>
            <w:rPr>
              <w:color w:val="auto"/>
            </w:rPr>
            <w:t>14</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_Toc27458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1.</w:t>
          </w:r>
          <w:r>
            <w:rPr>
              <w:rFonts w:hint="eastAsia"/>
              <w:color w:val="auto"/>
              <w:highlight w:val="none"/>
              <w:lang w:val="en-US" w:eastAsia="zh-CN"/>
            </w:rPr>
            <w:t>8</w:t>
          </w:r>
          <w:r>
            <w:rPr>
              <w:rFonts w:hint="eastAsia"/>
              <w:color w:val="auto"/>
              <w:highlight w:val="none"/>
            </w:rPr>
            <w:t xml:space="preserve"> 建设征地与移民安置</w:t>
          </w:r>
          <w:r>
            <w:rPr>
              <w:color w:val="auto"/>
            </w:rPr>
            <w:tab/>
          </w:r>
          <w:r>
            <w:rPr>
              <w:color w:val="auto"/>
            </w:rPr>
            <w:fldChar w:fldCharType="begin"/>
          </w:r>
          <w:r>
            <w:rPr>
              <w:color w:val="auto"/>
            </w:rPr>
            <w:instrText xml:space="preserve"> PAGEREF _Toc27458 </w:instrText>
          </w:r>
          <w:r>
            <w:rPr>
              <w:color w:val="auto"/>
            </w:rPr>
            <w:fldChar w:fldCharType="separate"/>
          </w:r>
          <w:r>
            <w:rPr>
              <w:color w:val="auto"/>
            </w:rPr>
            <w:t>15</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_Toc22065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1.</w:t>
          </w:r>
          <w:r>
            <w:rPr>
              <w:rFonts w:hint="eastAsia"/>
              <w:color w:val="auto"/>
              <w:highlight w:val="none"/>
              <w:lang w:val="en-US" w:eastAsia="zh-CN"/>
            </w:rPr>
            <w:t>9</w:t>
          </w:r>
          <w:r>
            <w:rPr>
              <w:rFonts w:hint="eastAsia"/>
              <w:color w:val="auto"/>
              <w:highlight w:val="none"/>
            </w:rPr>
            <w:t xml:space="preserve"> 环境保护设计</w:t>
          </w:r>
          <w:r>
            <w:rPr>
              <w:color w:val="auto"/>
            </w:rPr>
            <w:tab/>
          </w:r>
          <w:r>
            <w:rPr>
              <w:color w:val="auto"/>
            </w:rPr>
            <w:fldChar w:fldCharType="begin"/>
          </w:r>
          <w:r>
            <w:rPr>
              <w:color w:val="auto"/>
            </w:rPr>
            <w:instrText xml:space="preserve"> PAGEREF _Toc22065 </w:instrText>
          </w:r>
          <w:r>
            <w:rPr>
              <w:color w:val="auto"/>
            </w:rPr>
            <w:fldChar w:fldCharType="separate"/>
          </w:r>
          <w:r>
            <w:rPr>
              <w:color w:val="auto"/>
            </w:rPr>
            <w:t>16</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_Toc20716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1.1</w:t>
          </w:r>
          <w:r>
            <w:rPr>
              <w:rFonts w:hint="eastAsia"/>
              <w:color w:val="auto"/>
              <w:highlight w:val="none"/>
              <w:lang w:val="en-US" w:eastAsia="zh-CN"/>
            </w:rPr>
            <w:t>0</w:t>
          </w:r>
          <w:r>
            <w:rPr>
              <w:rFonts w:hint="eastAsia"/>
              <w:color w:val="auto"/>
              <w:highlight w:val="none"/>
            </w:rPr>
            <w:t xml:space="preserve"> 水土保持设计</w:t>
          </w:r>
          <w:r>
            <w:rPr>
              <w:color w:val="auto"/>
            </w:rPr>
            <w:tab/>
          </w:r>
          <w:r>
            <w:rPr>
              <w:color w:val="auto"/>
            </w:rPr>
            <w:fldChar w:fldCharType="begin"/>
          </w:r>
          <w:r>
            <w:rPr>
              <w:color w:val="auto"/>
            </w:rPr>
            <w:instrText xml:space="preserve"> PAGEREF _Toc20716 </w:instrText>
          </w:r>
          <w:r>
            <w:rPr>
              <w:color w:val="auto"/>
            </w:rPr>
            <w:fldChar w:fldCharType="separate"/>
          </w:r>
          <w:r>
            <w:rPr>
              <w:color w:val="auto"/>
            </w:rPr>
            <w:t>16</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_Toc9944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1.1</w:t>
          </w:r>
          <w:r>
            <w:rPr>
              <w:rFonts w:hint="eastAsia"/>
              <w:color w:val="auto"/>
              <w:highlight w:val="none"/>
              <w:lang w:val="en-US" w:eastAsia="zh-CN"/>
            </w:rPr>
            <w:t>1</w:t>
          </w:r>
          <w:r>
            <w:rPr>
              <w:rFonts w:hint="eastAsia"/>
              <w:color w:val="auto"/>
              <w:highlight w:val="none"/>
            </w:rPr>
            <w:t xml:space="preserve"> 劳动安全及工业卫生</w:t>
          </w:r>
          <w:r>
            <w:rPr>
              <w:color w:val="auto"/>
            </w:rPr>
            <w:tab/>
          </w:r>
          <w:r>
            <w:rPr>
              <w:color w:val="auto"/>
            </w:rPr>
            <w:fldChar w:fldCharType="begin"/>
          </w:r>
          <w:r>
            <w:rPr>
              <w:color w:val="auto"/>
            </w:rPr>
            <w:instrText xml:space="preserve"> PAGEREF _Toc9944 </w:instrText>
          </w:r>
          <w:r>
            <w:rPr>
              <w:color w:val="auto"/>
            </w:rPr>
            <w:fldChar w:fldCharType="separate"/>
          </w:r>
          <w:r>
            <w:rPr>
              <w:color w:val="auto"/>
            </w:rPr>
            <w:t>17</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_Toc10414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1.1</w:t>
          </w:r>
          <w:r>
            <w:rPr>
              <w:rFonts w:hint="eastAsia"/>
              <w:color w:val="auto"/>
              <w:highlight w:val="none"/>
              <w:lang w:val="en-US" w:eastAsia="zh-CN"/>
            </w:rPr>
            <w:t>2</w:t>
          </w:r>
          <w:r>
            <w:rPr>
              <w:rFonts w:hint="eastAsia"/>
              <w:color w:val="auto"/>
              <w:highlight w:val="none"/>
            </w:rPr>
            <w:t xml:space="preserve"> 节能设计</w:t>
          </w:r>
          <w:r>
            <w:rPr>
              <w:color w:val="auto"/>
            </w:rPr>
            <w:tab/>
          </w:r>
          <w:r>
            <w:rPr>
              <w:color w:val="auto"/>
            </w:rPr>
            <w:fldChar w:fldCharType="begin"/>
          </w:r>
          <w:r>
            <w:rPr>
              <w:color w:val="auto"/>
            </w:rPr>
            <w:instrText xml:space="preserve"> PAGEREF _Toc10414 </w:instrText>
          </w:r>
          <w:r>
            <w:rPr>
              <w:color w:val="auto"/>
            </w:rPr>
            <w:fldChar w:fldCharType="separate"/>
          </w:r>
          <w:r>
            <w:rPr>
              <w:color w:val="auto"/>
            </w:rPr>
            <w:t>18</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_Toc22156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1.1</w:t>
          </w:r>
          <w:r>
            <w:rPr>
              <w:rFonts w:hint="eastAsia"/>
              <w:color w:val="auto"/>
              <w:highlight w:val="none"/>
              <w:lang w:val="en-US" w:eastAsia="zh-CN"/>
            </w:rPr>
            <w:t>3</w:t>
          </w:r>
          <w:r>
            <w:rPr>
              <w:rFonts w:hint="eastAsia"/>
              <w:color w:val="auto"/>
              <w:highlight w:val="none"/>
            </w:rPr>
            <w:t xml:space="preserve"> 工程管理设计</w:t>
          </w:r>
          <w:r>
            <w:rPr>
              <w:color w:val="auto"/>
            </w:rPr>
            <w:tab/>
          </w:r>
          <w:r>
            <w:rPr>
              <w:color w:val="auto"/>
            </w:rPr>
            <w:fldChar w:fldCharType="begin"/>
          </w:r>
          <w:r>
            <w:rPr>
              <w:color w:val="auto"/>
            </w:rPr>
            <w:instrText xml:space="preserve"> PAGEREF _Toc22156 </w:instrText>
          </w:r>
          <w:r>
            <w:rPr>
              <w:color w:val="auto"/>
            </w:rPr>
            <w:fldChar w:fldCharType="separate"/>
          </w:r>
          <w:r>
            <w:rPr>
              <w:color w:val="auto"/>
            </w:rPr>
            <w:t>18</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_Toc14395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1.1</w:t>
          </w:r>
          <w:r>
            <w:rPr>
              <w:rFonts w:hint="eastAsia"/>
              <w:color w:val="auto"/>
              <w:highlight w:val="none"/>
              <w:lang w:val="en-US" w:eastAsia="zh-CN"/>
            </w:rPr>
            <w:t>4</w:t>
          </w:r>
          <w:r>
            <w:rPr>
              <w:rFonts w:hint="eastAsia"/>
              <w:color w:val="auto"/>
              <w:highlight w:val="none"/>
            </w:rPr>
            <w:t xml:space="preserve"> 设计概算</w:t>
          </w:r>
          <w:r>
            <w:rPr>
              <w:color w:val="auto"/>
            </w:rPr>
            <w:tab/>
          </w:r>
          <w:r>
            <w:rPr>
              <w:color w:val="auto"/>
            </w:rPr>
            <w:fldChar w:fldCharType="begin"/>
          </w:r>
          <w:r>
            <w:rPr>
              <w:color w:val="auto"/>
            </w:rPr>
            <w:instrText xml:space="preserve"> PAGEREF _Toc14395 </w:instrText>
          </w:r>
          <w:r>
            <w:rPr>
              <w:color w:val="auto"/>
            </w:rPr>
            <w:fldChar w:fldCharType="separate"/>
          </w:r>
          <w:r>
            <w:rPr>
              <w:color w:val="auto"/>
            </w:rPr>
            <w:t>18</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_Toc263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1.1</w:t>
          </w:r>
          <w:r>
            <w:rPr>
              <w:rFonts w:hint="eastAsia"/>
              <w:color w:val="auto"/>
              <w:highlight w:val="none"/>
              <w:lang w:val="en-US" w:eastAsia="zh-CN"/>
            </w:rPr>
            <w:t>5</w:t>
          </w:r>
          <w:r>
            <w:rPr>
              <w:rFonts w:hint="eastAsia"/>
              <w:color w:val="auto"/>
              <w:highlight w:val="none"/>
            </w:rPr>
            <w:t xml:space="preserve"> 经济评价</w:t>
          </w:r>
          <w:r>
            <w:rPr>
              <w:color w:val="auto"/>
            </w:rPr>
            <w:tab/>
          </w:r>
          <w:r>
            <w:rPr>
              <w:color w:val="auto"/>
            </w:rPr>
            <w:fldChar w:fldCharType="begin"/>
          </w:r>
          <w:r>
            <w:rPr>
              <w:color w:val="auto"/>
            </w:rPr>
            <w:instrText xml:space="preserve"> PAGEREF _Toc263 </w:instrText>
          </w:r>
          <w:r>
            <w:rPr>
              <w:color w:val="auto"/>
            </w:rPr>
            <w:fldChar w:fldCharType="separate"/>
          </w:r>
          <w:r>
            <w:rPr>
              <w:color w:val="auto"/>
            </w:rPr>
            <w:t>19</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_Toc3595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1.1</w:t>
          </w:r>
          <w:r>
            <w:rPr>
              <w:rFonts w:hint="eastAsia"/>
              <w:color w:val="auto"/>
              <w:highlight w:val="none"/>
              <w:lang w:val="en-US" w:eastAsia="zh-CN"/>
            </w:rPr>
            <w:t>6</w:t>
          </w:r>
          <w:r>
            <w:rPr>
              <w:rFonts w:hint="eastAsia"/>
              <w:color w:val="auto"/>
              <w:highlight w:val="none"/>
            </w:rPr>
            <w:t xml:space="preserve"> 海绵城市建设</w:t>
          </w:r>
          <w:r>
            <w:rPr>
              <w:color w:val="auto"/>
            </w:rPr>
            <w:tab/>
          </w:r>
          <w:r>
            <w:rPr>
              <w:color w:val="auto"/>
            </w:rPr>
            <w:fldChar w:fldCharType="begin"/>
          </w:r>
          <w:r>
            <w:rPr>
              <w:color w:val="auto"/>
            </w:rPr>
            <w:instrText xml:space="preserve"> PAGEREF _Toc3595 </w:instrText>
          </w:r>
          <w:r>
            <w:rPr>
              <w:color w:val="auto"/>
            </w:rPr>
            <w:fldChar w:fldCharType="separate"/>
          </w:r>
          <w:r>
            <w:rPr>
              <w:color w:val="auto"/>
            </w:rPr>
            <w:t>19</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2"/>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_Toc24053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szCs w:val="32"/>
              <w:highlight w:val="none"/>
            </w:rPr>
            <w:t xml:space="preserve">2 </w:t>
          </w:r>
          <w:r>
            <w:rPr>
              <w:rFonts w:hint="eastAsia"/>
              <w:color w:val="auto"/>
              <w:szCs w:val="32"/>
              <w:highlight w:val="none"/>
              <w:lang w:val="en-US" w:eastAsia="zh-CN"/>
            </w:rPr>
            <w:t xml:space="preserve"> </w:t>
          </w:r>
          <w:r>
            <w:rPr>
              <w:rFonts w:hint="eastAsia"/>
              <w:color w:val="auto"/>
              <w:szCs w:val="32"/>
              <w:highlight w:val="none"/>
            </w:rPr>
            <w:t>水 文</w:t>
          </w:r>
          <w:r>
            <w:rPr>
              <w:color w:val="auto"/>
            </w:rPr>
            <w:tab/>
          </w:r>
          <w:r>
            <w:rPr>
              <w:color w:val="auto"/>
            </w:rPr>
            <w:fldChar w:fldCharType="begin"/>
          </w:r>
          <w:r>
            <w:rPr>
              <w:color w:val="auto"/>
            </w:rPr>
            <w:instrText xml:space="preserve"> PAGEREF _Toc24053 </w:instrText>
          </w:r>
          <w:r>
            <w:rPr>
              <w:color w:val="auto"/>
            </w:rPr>
            <w:fldChar w:fldCharType="separate"/>
          </w:r>
          <w:r>
            <w:rPr>
              <w:color w:val="auto"/>
            </w:rPr>
            <w:t>20</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_Toc16844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2</w:t>
          </w:r>
          <w:r>
            <w:rPr>
              <w:color w:val="auto"/>
              <w:highlight w:val="none"/>
            </w:rPr>
            <w:t xml:space="preserve">.1 </w:t>
          </w:r>
          <w:r>
            <w:rPr>
              <w:rFonts w:hint="eastAsia"/>
              <w:color w:val="auto"/>
              <w:highlight w:val="none"/>
            </w:rPr>
            <w:t>流域概况</w:t>
          </w:r>
          <w:r>
            <w:rPr>
              <w:color w:val="auto"/>
            </w:rPr>
            <w:tab/>
          </w:r>
          <w:r>
            <w:rPr>
              <w:color w:val="auto"/>
            </w:rPr>
            <w:fldChar w:fldCharType="begin"/>
          </w:r>
          <w:r>
            <w:rPr>
              <w:color w:val="auto"/>
            </w:rPr>
            <w:instrText xml:space="preserve"> PAGEREF _Toc16844 </w:instrText>
          </w:r>
          <w:r>
            <w:rPr>
              <w:color w:val="auto"/>
            </w:rPr>
            <w:fldChar w:fldCharType="separate"/>
          </w:r>
          <w:r>
            <w:rPr>
              <w:color w:val="auto"/>
            </w:rPr>
            <w:t>20</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_Toc12852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2</w:t>
          </w:r>
          <w:r>
            <w:rPr>
              <w:color w:val="auto"/>
              <w:highlight w:val="none"/>
            </w:rPr>
            <w:t xml:space="preserve">.2 </w:t>
          </w:r>
          <w:r>
            <w:rPr>
              <w:rFonts w:hint="eastAsia"/>
              <w:color w:val="auto"/>
              <w:highlight w:val="none"/>
            </w:rPr>
            <w:t>气象</w:t>
          </w:r>
          <w:r>
            <w:rPr>
              <w:color w:val="auto"/>
            </w:rPr>
            <w:tab/>
          </w:r>
          <w:r>
            <w:rPr>
              <w:color w:val="auto"/>
            </w:rPr>
            <w:fldChar w:fldCharType="begin"/>
          </w:r>
          <w:r>
            <w:rPr>
              <w:color w:val="auto"/>
            </w:rPr>
            <w:instrText xml:space="preserve"> PAGEREF _Toc12852 </w:instrText>
          </w:r>
          <w:r>
            <w:rPr>
              <w:color w:val="auto"/>
            </w:rPr>
            <w:fldChar w:fldCharType="separate"/>
          </w:r>
          <w:r>
            <w:rPr>
              <w:color w:val="auto"/>
            </w:rPr>
            <w:t>22</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_Toc2337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2</w:t>
          </w:r>
          <w:r>
            <w:rPr>
              <w:color w:val="auto"/>
              <w:highlight w:val="none"/>
            </w:rPr>
            <w:t xml:space="preserve">.3 </w:t>
          </w:r>
          <w:r>
            <w:rPr>
              <w:rFonts w:hint="eastAsia"/>
              <w:color w:val="auto"/>
              <w:highlight w:val="none"/>
            </w:rPr>
            <w:t>水文</w:t>
          </w:r>
          <w:r>
            <w:rPr>
              <w:color w:val="auto"/>
              <w:highlight w:val="none"/>
            </w:rPr>
            <w:t>基本资料</w:t>
          </w:r>
          <w:r>
            <w:rPr>
              <w:color w:val="auto"/>
            </w:rPr>
            <w:tab/>
          </w:r>
          <w:r>
            <w:rPr>
              <w:color w:val="auto"/>
            </w:rPr>
            <w:fldChar w:fldCharType="begin"/>
          </w:r>
          <w:r>
            <w:rPr>
              <w:color w:val="auto"/>
            </w:rPr>
            <w:instrText xml:space="preserve"> PAGEREF _Toc2337 </w:instrText>
          </w:r>
          <w:r>
            <w:rPr>
              <w:color w:val="auto"/>
            </w:rPr>
            <w:fldChar w:fldCharType="separate"/>
          </w:r>
          <w:r>
            <w:rPr>
              <w:color w:val="auto"/>
            </w:rPr>
            <w:t>23</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_Toc22556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2</w:t>
          </w:r>
          <w:r>
            <w:rPr>
              <w:color w:val="auto"/>
              <w:highlight w:val="none"/>
            </w:rPr>
            <w:t xml:space="preserve">.4 </w:t>
          </w:r>
          <w:r>
            <w:rPr>
              <w:rFonts w:hint="eastAsia"/>
              <w:color w:val="auto"/>
              <w:highlight w:val="none"/>
            </w:rPr>
            <w:t>径流</w:t>
          </w:r>
          <w:r>
            <w:rPr>
              <w:color w:val="auto"/>
            </w:rPr>
            <w:tab/>
          </w:r>
          <w:r>
            <w:rPr>
              <w:color w:val="auto"/>
            </w:rPr>
            <w:fldChar w:fldCharType="begin"/>
          </w:r>
          <w:r>
            <w:rPr>
              <w:color w:val="auto"/>
            </w:rPr>
            <w:instrText xml:space="preserve"> PAGEREF _Toc22556 </w:instrText>
          </w:r>
          <w:r>
            <w:rPr>
              <w:color w:val="auto"/>
            </w:rPr>
            <w:fldChar w:fldCharType="separate"/>
          </w:r>
          <w:r>
            <w:rPr>
              <w:color w:val="auto"/>
            </w:rPr>
            <w:t>24</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_Toc19290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2.5 洪水</w:t>
          </w:r>
          <w:r>
            <w:rPr>
              <w:color w:val="auto"/>
            </w:rPr>
            <w:tab/>
          </w:r>
          <w:r>
            <w:rPr>
              <w:color w:val="auto"/>
            </w:rPr>
            <w:fldChar w:fldCharType="begin"/>
          </w:r>
          <w:r>
            <w:rPr>
              <w:color w:val="auto"/>
            </w:rPr>
            <w:instrText xml:space="preserve"> PAGEREF _Toc19290 </w:instrText>
          </w:r>
          <w:r>
            <w:rPr>
              <w:color w:val="auto"/>
            </w:rPr>
            <w:fldChar w:fldCharType="separate"/>
          </w:r>
          <w:r>
            <w:rPr>
              <w:color w:val="auto"/>
            </w:rPr>
            <w:t>28</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_Toc32448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2</w:t>
          </w:r>
          <w:r>
            <w:rPr>
              <w:color w:val="auto"/>
              <w:highlight w:val="none"/>
            </w:rPr>
            <w:t>.</w:t>
          </w:r>
          <w:r>
            <w:rPr>
              <w:rFonts w:hint="eastAsia"/>
              <w:color w:val="auto"/>
              <w:highlight w:val="none"/>
              <w:lang w:val="en-US" w:eastAsia="zh-CN"/>
            </w:rPr>
            <w:t>6</w:t>
          </w:r>
          <w:r>
            <w:rPr>
              <w:color w:val="auto"/>
              <w:highlight w:val="none"/>
            </w:rPr>
            <w:t xml:space="preserve"> 泥沙</w:t>
          </w:r>
          <w:r>
            <w:rPr>
              <w:color w:val="auto"/>
            </w:rPr>
            <w:tab/>
          </w:r>
          <w:r>
            <w:rPr>
              <w:color w:val="auto"/>
            </w:rPr>
            <w:fldChar w:fldCharType="begin"/>
          </w:r>
          <w:r>
            <w:rPr>
              <w:color w:val="auto"/>
            </w:rPr>
            <w:instrText xml:space="preserve"> PAGEREF _Toc32448 </w:instrText>
          </w:r>
          <w:r>
            <w:rPr>
              <w:color w:val="auto"/>
            </w:rPr>
            <w:fldChar w:fldCharType="separate"/>
          </w:r>
          <w:r>
            <w:rPr>
              <w:color w:val="auto"/>
            </w:rPr>
            <w:t>33</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_Toc29724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2.</w:t>
          </w:r>
          <w:r>
            <w:rPr>
              <w:rFonts w:hint="eastAsia"/>
              <w:color w:val="auto"/>
              <w:highlight w:val="none"/>
              <w:lang w:val="en-US" w:eastAsia="zh-CN"/>
            </w:rPr>
            <w:t>7</w:t>
          </w:r>
          <w:r>
            <w:rPr>
              <w:rFonts w:hint="eastAsia"/>
              <w:color w:val="auto"/>
              <w:highlight w:val="none"/>
            </w:rPr>
            <w:t xml:space="preserve"> 潮汐</w:t>
          </w:r>
          <w:r>
            <w:rPr>
              <w:color w:val="auto"/>
            </w:rPr>
            <w:tab/>
          </w:r>
          <w:r>
            <w:rPr>
              <w:color w:val="auto"/>
            </w:rPr>
            <w:fldChar w:fldCharType="begin"/>
          </w:r>
          <w:r>
            <w:rPr>
              <w:color w:val="auto"/>
            </w:rPr>
            <w:instrText xml:space="preserve"> PAGEREF _Toc29724 </w:instrText>
          </w:r>
          <w:r>
            <w:rPr>
              <w:color w:val="auto"/>
            </w:rPr>
            <w:fldChar w:fldCharType="separate"/>
          </w:r>
          <w:r>
            <w:rPr>
              <w:color w:val="auto"/>
            </w:rPr>
            <w:t>33</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2"/>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_Toc144 </w:instrText>
          </w:r>
          <w:r>
            <w:rPr>
              <w:rFonts w:ascii="Times New Roman" w:hAnsi="Times New Roman" w:eastAsia="黑体" w:cs="Times New Roman"/>
              <w:bCs/>
              <w:caps/>
              <w:color w:val="auto"/>
              <w:kern w:val="2"/>
              <w:szCs w:val="24"/>
              <w:highlight w:val="none"/>
              <w:lang w:val="en-US" w:eastAsia="zh-CN" w:bidi="ar-SA"/>
            </w:rPr>
            <w:fldChar w:fldCharType="separate"/>
          </w:r>
          <w:r>
            <w:rPr>
              <w:color w:val="auto"/>
              <w:szCs w:val="32"/>
              <w:highlight w:val="none"/>
            </w:rPr>
            <w:t xml:space="preserve">3 </w:t>
          </w:r>
          <w:r>
            <w:rPr>
              <w:rFonts w:hint="eastAsia"/>
              <w:color w:val="auto"/>
              <w:szCs w:val="32"/>
              <w:highlight w:val="none"/>
              <w:lang w:val="en-US" w:eastAsia="zh-CN"/>
            </w:rPr>
            <w:t xml:space="preserve"> </w:t>
          </w:r>
          <w:r>
            <w:rPr>
              <w:color w:val="auto"/>
              <w:szCs w:val="32"/>
              <w:highlight w:val="none"/>
            </w:rPr>
            <w:t>工程地质</w:t>
          </w:r>
          <w:r>
            <w:rPr>
              <w:color w:val="auto"/>
            </w:rPr>
            <w:tab/>
          </w:r>
          <w:r>
            <w:rPr>
              <w:color w:val="auto"/>
            </w:rPr>
            <w:fldChar w:fldCharType="begin"/>
          </w:r>
          <w:r>
            <w:rPr>
              <w:color w:val="auto"/>
            </w:rPr>
            <w:instrText xml:space="preserve"> PAGEREF _Toc144 </w:instrText>
          </w:r>
          <w:r>
            <w:rPr>
              <w:color w:val="auto"/>
            </w:rPr>
            <w:fldChar w:fldCharType="separate"/>
          </w:r>
          <w:r>
            <w:rPr>
              <w:color w:val="auto"/>
            </w:rPr>
            <w:t>34</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_Toc1035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3</w:t>
          </w:r>
          <w:r>
            <w:rPr>
              <w:color w:val="auto"/>
              <w:highlight w:val="none"/>
            </w:rPr>
            <w:t xml:space="preserve">.1 </w:t>
          </w:r>
          <w:r>
            <w:rPr>
              <w:rFonts w:hint="eastAsia"/>
              <w:color w:val="auto"/>
              <w:highlight w:val="none"/>
            </w:rPr>
            <w:t>概述</w:t>
          </w:r>
          <w:r>
            <w:rPr>
              <w:color w:val="auto"/>
            </w:rPr>
            <w:tab/>
          </w:r>
          <w:r>
            <w:rPr>
              <w:color w:val="auto"/>
            </w:rPr>
            <w:fldChar w:fldCharType="begin"/>
          </w:r>
          <w:r>
            <w:rPr>
              <w:color w:val="auto"/>
            </w:rPr>
            <w:instrText xml:space="preserve"> PAGEREF _Toc1035 </w:instrText>
          </w:r>
          <w:r>
            <w:rPr>
              <w:color w:val="auto"/>
            </w:rPr>
            <w:fldChar w:fldCharType="separate"/>
          </w:r>
          <w:r>
            <w:rPr>
              <w:color w:val="auto"/>
            </w:rPr>
            <w:t>34</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_Toc29642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3</w:t>
          </w:r>
          <w:r>
            <w:rPr>
              <w:color w:val="auto"/>
              <w:highlight w:val="none"/>
            </w:rPr>
            <w:t xml:space="preserve">.2 </w:t>
          </w:r>
          <w:r>
            <w:rPr>
              <w:rFonts w:hint="eastAsia"/>
              <w:color w:val="auto"/>
              <w:highlight w:val="none"/>
            </w:rPr>
            <w:t>区域地质</w:t>
          </w:r>
          <w:r>
            <w:rPr>
              <w:color w:val="auto"/>
            </w:rPr>
            <w:tab/>
          </w:r>
          <w:r>
            <w:rPr>
              <w:color w:val="auto"/>
            </w:rPr>
            <w:fldChar w:fldCharType="begin"/>
          </w:r>
          <w:r>
            <w:rPr>
              <w:color w:val="auto"/>
            </w:rPr>
            <w:instrText xml:space="preserve"> PAGEREF _Toc29642 </w:instrText>
          </w:r>
          <w:r>
            <w:rPr>
              <w:color w:val="auto"/>
            </w:rPr>
            <w:fldChar w:fldCharType="separate"/>
          </w:r>
          <w:r>
            <w:rPr>
              <w:color w:val="auto"/>
            </w:rPr>
            <w:t>36</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_Toc6126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 xml:space="preserve">3.3 </w:t>
          </w:r>
          <w:r>
            <w:rPr>
              <w:rFonts w:hint="eastAsia"/>
              <w:color w:val="auto"/>
              <w:highlight w:val="none"/>
            </w:rPr>
            <w:t>工程地质条件与评价</w:t>
          </w:r>
          <w:r>
            <w:rPr>
              <w:color w:val="auto"/>
            </w:rPr>
            <w:tab/>
          </w:r>
          <w:r>
            <w:rPr>
              <w:color w:val="auto"/>
            </w:rPr>
            <w:fldChar w:fldCharType="begin"/>
          </w:r>
          <w:r>
            <w:rPr>
              <w:color w:val="auto"/>
            </w:rPr>
            <w:instrText xml:space="preserve"> PAGEREF _Toc6126 </w:instrText>
          </w:r>
          <w:r>
            <w:rPr>
              <w:color w:val="auto"/>
            </w:rPr>
            <w:fldChar w:fldCharType="separate"/>
          </w:r>
          <w:r>
            <w:rPr>
              <w:color w:val="auto"/>
            </w:rPr>
            <w:t>38</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_Toc27535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3.4 主要工程地质问题</w:t>
          </w:r>
          <w:r>
            <w:rPr>
              <w:color w:val="auto"/>
            </w:rPr>
            <w:tab/>
          </w:r>
          <w:r>
            <w:rPr>
              <w:color w:val="auto"/>
            </w:rPr>
            <w:fldChar w:fldCharType="begin"/>
          </w:r>
          <w:r>
            <w:rPr>
              <w:color w:val="auto"/>
            </w:rPr>
            <w:instrText xml:space="preserve"> PAGEREF _Toc27535 </w:instrText>
          </w:r>
          <w:r>
            <w:rPr>
              <w:color w:val="auto"/>
            </w:rPr>
            <w:fldChar w:fldCharType="separate"/>
          </w:r>
          <w:r>
            <w:rPr>
              <w:color w:val="auto"/>
            </w:rPr>
            <w:t>45</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_Toc8690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3.5 天然建筑材料</w:t>
          </w:r>
          <w:r>
            <w:rPr>
              <w:color w:val="auto"/>
            </w:rPr>
            <w:tab/>
          </w:r>
          <w:r>
            <w:rPr>
              <w:color w:val="auto"/>
            </w:rPr>
            <w:fldChar w:fldCharType="begin"/>
          </w:r>
          <w:r>
            <w:rPr>
              <w:color w:val="auto"/>
            </w:rPr>
            <w:instrText xml:space="preserve"> PAGEREF _Toc8690 </w:instrText>
          </w:r>
          <w:r>
            <w:rPr>
              <w:color w:val="auto"/>
            </w:rPr>
            <w:fldChar w:fldCharType="separate"/>
          </w:r>
          <w:r>
            <w:rPr>
              <w:color w:val="auto"/>
            </w:rPr>
            <w:t>46</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_Toc22180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3.6 结论与建议</w:t>
          </w:r>
          <w:r>
            <w:rPr>
              <w:color w:val="auto"/>
            </w:rPr>
            <w:tab/>
          </w:r>
          <w:r>
            <w:rPr>
              <w:color w:val="auto"/>
            </w:rPr>
            <w:fldChar w:fldCharType="begin"/>
          </w:r>
          <w:r>
            <w:rPr>
              <w:color w:val="auto"/>
            </w:rPr>
            <w:instrText xml:space="preserve"> PAGEREF _Toc22180 </w:instrText>
          </w:r>
          <w:r>
            <w:rPr>
              <w:color w:val="auto"/>
            </w:rPr>
            <w:fldChar w:fldCharType="separate"/>
          </w:r>
          <w:r>
            <w:rPr>
              <w:color w:val="auto"/>
            </w:rPr>
            <w:t>46</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2"/>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_Toc11759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szCs w:val="32"/>
              <w:highlight w:val="none"/>
            </w:rPr>
            <w:t xml:space="preserve">4 </w:t>
          </w:r>
          <w:r>
            <w:rPr>
              <w:rFonts w:hint="eastAsia"/>
              <w:color w:val="auto"/>
              <w:szCs w:val="32"/>
              <w:highlight w:val="none"/>
              <w:lang w:val="en-US" w:eastAsia="zh-CN"/>
            </w:rPr>
            <w:t xml:space="preserve"> </w:t>
          </w:r>
          <w:r>
            <w:rPr>
              <w:rFonts w:hint="eastAsia"/>
              <w:color w:val="auto"/>
              <w:szCs w:val="32"/>
              <w:highlight w:val="none"/>
            </w:rPr>
            <w:t>工程任务和规模</w:t>
          </w:r>
          <w:r>
            <w:rPr>
              <w:color w:val="auto"/>
            </w:rPr>
            <w:tab/>
          </w:r>
          <w:r>
            <w:rPr>
              <w:color w:val="auto"/>
            </w:rPr>
            <w:fldChar w:fldCharType="begin"/>
          </w:r>
          <w:r>
            <w:rPr>
              <w:color w:val="auto"/>
            </w:rPr>
            <w:instrText xml:space="preserve"> PAGEREF _Toc11759 </w:instrText>
          </w:r>
          <w:r>
            <w:rPr>
              <w:color w:val="auto"/>
            </w:rPr>
            <w:fldChar w:fldCharType="separate"/>
          </w:r>
          <w:r>
            <w:rPr>
              <w:color w:val="auto"/>
            </w:rPr>
            <w:t>48</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_Toc4381 </w:instrText>
          </w:r>
          <w:r>
            <w:rPr>
              <w:rFonts w:ascii="Times New Roman" w:hAnsi="Times New Roman" w:eastAsia="黑体" w:cs="Times New Roman"/>
              <w:bCs/>
              <w:caps/>
              <w:color w:val="auto"/>
              <w:kern w:val="2"/>
              <w:szCs w:val="24"/>
              <w:highlight w:val="none"/>
              <w:lang w:val="en-US" w:eastAsia="zh-CN" w:bidi="ar-SA"/>
            </w:rPr>
            <w:fldChar w:fldCharType="separate"/>
          </w:r>
          <w:r>
            <w:rPr>
              <w:color w:val="auto"/>
              <w:highlight w:val="none"/>
            </w:rPr>
            <w:t xml:space="preserve">4.1 </w:t>
          </w:r>
          <w:r>
            <w:rPr>
              <w:rFonts w:hint="eastAsia"/>
              <w:color w:val="auto"/>
              <w:highlight w:val="none"/>
            </w:rPr>
            <w:t>工程建设的必要性</w:t>
          </w:r>
          <w:r>
            <w:rPr>
              <w:color w:val="auto"/>
            </w:rPr>
            <w:tab/>
          </w:r>
          <w:r>
            <w:rPr>
              <w:color w:val="auto"/>
            </w:rPr>
            <w:fldChar w:fldCharType="begin"/>
          </w:r>
          <w:r>
            <w:rPr>
              <w:color w:val="auto"/>
            </w:rPr>
            <w:instrText xml:space="preserve"> PAGEREF _Toc4381 </w:instrText>
          </w:r>
          <w:r>
            <w:rPr>
              <w:color w:val="auto"/>
            </w:rPr>
            <w:fldChar w:fldCharType="separate"/>
          </w:r>
          <w:r>
            <w:rPr>
              <w:color w:val="auto"/>
            </w:rPr>
            <w:t>48</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_Toc4312 </w:instrText>
          </w:r>
          <w:r>
            <w:rPr>
              <w:rFonts w:ascii="Times New Roman" w:hAnsi="Times New Roman" w:eastAsia="黑体" w:cs="Times New Roman"/>
              <w:bCs/>
              <w:caps/>
              <w:color w:val="auto"/>
              <w:kern w:val="2"/>
              <w:szCs w:val="24"/>
              <w:highlight w:val="none"/>
              <w:lang w:val="en-US" w:eastAsia="zh-CN" w:bidi="ar-SA"/>
            </w:rPr>
            <w:fldChar w:fldCharType="separate"/>
          </w:r>
          <w:r>
            <w:rPr>
              <w:color w:val="auto"/>
              <w:highlight w:val="none"/>
            </w:rPr>
            <w:t xml:space="preserve">4.2 </w:t>
          </w:r>
          <w:r>
            <w:rPr>
              <w:rFonts w:hint="eastAsia"/>
              <w:color w:val="auto"/>
              <w:highlight w:val="none"/>
            </w:rPr>
            <w:t>工程任务</w:t>
          </w:r>
          <w:r>
            <w:rPr>
              <w:color w:val="auto"/>
            </w:rPr>
            <w:tab/>
          </w:r>
          <w:r>
            <w:rPr>
              <w:color w:val="auto"/>
            </w:rPr>
            <w:fldChar w:fldCharType="begin"/>
          </w:r>
          <w:r>
            <w:rPr>
              <w:color w:val="auto"/>
            </w:rPr>
            <w:instrText xml:space="preserve"> PAGEREF _Toc4312 </w:instrText>
          </w:r>
          <w:r>
            <w:rPr>
              <w:color w:val="auto"/>
            </w:rPr>
            <w:fldChar w:fldCharType="separate"/>
          </w:r>
          <w:r>
            <w:rPr>
              <w:color w:val="auto"/>
            </w:rPr>
            <w:t>65</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_Toc10375 </w:instrText>
          </w:r>
          <w:r>
            <w:rPr>
              <w:rFonts w:ascii="Times New Roman" w:hAnsi="Times New Roman" w:eastAsia="黑体" w:cs="Times New Roman"/>
              <w:bCs/>
              <w:caps/>
              <w:color w:val="auto"/>
              <w:kern w:val="2"/>
              <w:szCs w:val="24"/>
              <w:highlight w:val="none"/>
              <w:lang w:val="en-US" w:eastAsia="zh-CN" w:bidi="ar-SA"/>
            </w:rPr>
            <w:fldChar w:fldCharType="separate"/>
          </w:r>
          <w:r>
            <w:rPr>
              <w:color w:val="auto"/>
              <w:highlight w:val="none"/>
            </w:rPr>
            <w:t>4.3 设计标准</w:t>
          </w:r>
          <w:r>
            <w:rPr>
              <w:color w:val="auto"/>
            </w:rPr>
            <w:tab/>
          </w:r>
          <w:r>
            <w:rPr>
              <w:color w:val="auto"/>
            </w:rPr>
            <w:fldChar w:fldCharType="begin"/>
          </w:r>
          <w:r>
            <w:rPr>
              <w:color w:val="auto"/>
            </w:rPr>
            <w:instrText xml:space="preserve"> PAGEREF _Toc10375 </w:instrText>
          </w:r>
          <w:r>
            <w:rPr>
              <w:color w:val="auto"/>
            </w:rPr>
            <w:fldChar w:fldCharType="separate"/>
          </w:r>
          <w:r>
            <w:rPr>
              <w:color w:val="auto"/>
            </w:rPr>
            <w:t>65</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_Toc9414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4.4 排洪能力计算</w:t>
          </w:r>
          <w:r>
            <w:rPr>
              <w:color w:val="auto"/>
            </w:rPr>
            <w:tab/>
          </w:r>
          <w:r>
            <w:rPr>
              <w:color w:val="auto"/>
            </w:rPr>
            <w:fldChar w:fldCharType="begin"/>
          </w:r>
          <w:r>
            <w:rPr>
              <w:color w:val="auto"/>
            </w:rPr>
            <w:instrText xml:space="preserve"> PAGEREF _Toc9414 </w:instrText>
          </w:r>
          <w:r>
            <w:rPr>
              <w:color w:val="auto"/>
            </w:rPr>
            <w:fldChar w:fldCharType="separate"/>
          </w:r>
          <w:r>
            <w:rPr>
              <w:color w:val="auto"/>
            </w:rPr>
            <w:t>66</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_Toc3667 </w:instrText>
          </w:r>
          <w:r>
            <w:rPr>
              <w:rFonts w:ascii="Times New Roman" w:hAnsi="Times New Roman" w:eastAsia="黑体" w:cs="Times New Roman"/>
              <w:bCs/>
              <w:caps/>
              <w:color w:val="auto"/>
              <w:kern w:val="2"/>
              <w:szCs w:val="24"/>
              <w:highlight w:val="none"/>
              <w:lang w:val="en-US" w:eastAsia="zh-CN" w:bidi="ar-SA"/>
            </w:rPr>
            <w:fldChar w:fldCharType="separate"/>
          </w:r>
          <w:r>
            <w:rPr>
              <w:color w:val="auto"/>
              <w:highlight w:val="none"/>
            </w:rPr>
            <w:t>4.</w:t>
          </w:r>
          <w:r>
            <w:rPr>
              <w:rFonts w:hint="eastAsia"/>
              <w:color w:val="auto"/>
              <w:highlight w:val="none"/>
            </w:rPr>
            <w:t>5</w:t>
          </w:r>
          <w:r>
            <w:rPr>
              <w:color w:val="auto"/>
              <w:highlight w:val="none"/>
            </w:rPr>
            <w:t xml:space="preserve"> </w:t>
          </w:r>
          <w:r>
            <w:rPr>
              <w:rFonts w:hint="eastAsia"/>
              <w:color w:val="auto"/>
              <w:highlight w:val="none"/>
            </w:rPr>
            <w:t>灌溉能力计算</w:t>
          </w:r>
          <w:r>
            <w:rPr>
              <w:color w:val="auto"/>
            </w:rPr>
            <w:tab/>
          </w:r>
          <w:r>
            <w:rPr>
              <w:color w:val="auto"/>
            </w:rPr>
            <w:fldChar w:fldCharType="begin"/>
          </w:r>
          <w:r>
            <w:rPr>
              <w:color w:val="auto"/>
            </w:rPr>
            <w:instrText xml:space="preserve"> PAGEREF _Toc3667 </w:instrText>
          </w:r>
          <w:r>
            <w:rPr>
              <w:color w:val="auto"/>
            </w:rPr>
            <w:fldChar w:fldCharType="separate"/>
          </w:r>
          <w:r>
            <w:rPr>
              <w:color w:val="auto"/>
            </w:rPr>
            <w:t>67</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_Toc32316 </w:instrText>
          </w:r>
          <w:r>
            <w:rPr>
              <w:rFonts w:ascii="Times New Roman" w:hAnsi="Times New Roman" w:eastAsia="黑体" w:cs="Times New Roman"/>
              <w:bCs/>
              <w:caps/>
              <w:color w:val="auto"/>
              <w:kern w:val="2"/>
              <w:szCs w:val="24"/>
              <w:highlight w:val="none"/>
              <w:lang w:val="en-US" w:eastAsia="zh-CN" w:bidi="ar-SA"/>
            </w:rPr>
            <w:fldChar w:fldCharType="separate"/>
          </w:r>
          <w:r>
            <w:rPr>
              <w:color w:val="auto"/>
              <w:highlight w:val="none"/>
            </w:rPr>
            <w:t>4.6 工程规模</w:t>
          </w:r>
          <w:r>
            <w:rPr>
              <w:color w:val="auto"/>
            </w:rPr>
            <w:tab/>
          </w:r>
          <w:r>
            <w:rPr>
              <w:color w:val="auto"/>
            </w:rPr>
            <w:fldChar w:fldCharType="begin"/>
          </w:r>
          <w:r>
            <w:rPr>
              <w:color w:val="auto"/>
            </w:rPr>
            <w:instrText xml:space="preserve"> PAGEREF _Toc32316 </w:instrText>
          </w:r>
          <w:r>
            <w:rPr>
              <w:color w:val="auto"/>
            </w:rPr>
            <w:fldChar w:fldCharType="separate"/>
          </w:r>
          <w:r>
            <w:rPr>
              <w:color w:val="auto"/>
            </w:rPr>
            <w:t>68</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2"/>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_Toc4741 </w:instrText>
          </w:r>
          <w:r>
            <w:rPr>
              <w:rFonts w:ascii="Times New Roman" w:hAnsi="Times New Roman" w:eastAsia="黑体" w:cs="Times New Roman"/>
              <w:bCs/>
              <w:caps/>
              <w:color w:val="auto"/>
              <w:kern w:val="2"/>
              <w:szCs w:val="24"/>
              <w:highlight w:val="none"/>
              <w:lang w:val="en-US" w:eastAsia="zh-CN" w:bidi="ar-SA"/>
            </w:rPr>
            <w:fldChar w:fldCharType="separate"/>
          </w:r>
          <w:r>
            <w:rPr>
              <w:color w:val="auto"/>
              <w:szCs w:val="32"/>
              <w:highlight w:val="none"/>
            </w:rPr>
            <w:t xml:space="preserve">5 </w:t>
          </w:r>
          <w:r>
            <w:rPr>
              <w:rFonts w:hint="eastAsia"/>
              <w:color w:val="auto"/>
              <w:szCs w:val="32"/>
              <w:highlight w:val="none"/>
              <w:lang w:val="en-US" w:eastAsia="zh-CN"/>
            </w:rPr>
            <w:t xml:space="preserve"> </w:t>
          </w:r>
          <w:r>
            <w:rPr>
              <w:color w:val="auto"/>
              <w:szCs w:val="32"/>
              <w:highlight w:val="none"/>
            </w:rPr>
            <w:t>工程总布置及主要建筑物</w:t>
          </w:r>
          <w:r>
            <w:rPr>
              <w:color w:val="auto"/>
            </w:rPr>
            <w:tab/>
          </w:r>
          <w:r>
            <w:rPr>
              <w:color w:val="auto"/>
            </w:rPr>
            <w:fldChar w:fldCharType="begin"/>
          </w:r>
          <w:r>
            <w:rPr>
              <w:color w:val="auto"/>
            </w:rPr>
            <w:instrText xml:space="preserve"> PAGEREF _Toc4741 </w:instrText>
          </w:r>
          <w:r>
            <w:rPr>
              <w:color w:val="auto"/>
            </w:rPr>
            <w:fldChar w:fldCharType="separate"/>
          </w:r>
          <w:r>
            <w:rPr>
              <w:color w:val="auto"/>
            </w:rPr>
            <w:t>73</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_Toc11405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5</w:t>
          </w:r>
          <w:r>
            <w:rPr>
              <w:color w:val="auto"/>
              <w:highlight w:val="none"/>
            </w:rPr>
            <w:t>.1 设计依据</w:t>
          </w:r>
          <w:r>
            <w:rPr>
              <w:color w:val="auto"/>
            </w:rPr>
            <w:tab/>
          </w:r>
          <w:r>
            <w:rPr>
              <w:color w:val="auto"/>
            </w:rPr>
            <w:fldChar w:fldCharType="begin"/>
          </w:r>
          <w:r>
            <w:rPr>
              <w:color w:val="auto"/>
            </w:rPr>
            <w:instrText xml:space="preserve"> PAGEREF _Toc11405 </w:instrText>
          </w:r>
          <w:r>
            <w:rPr>
              <w:color w:val="auto"/>
            </w:rPr>
            <w:fldChar w:fldCharType="separate"/>
          </w:r>
          <w:r>
            <w:rPr>
              <w:color w:val="auto"/>
            </w:rPr>
            <w:t>73</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_Toc4346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5</w:t>
          </w:r>
          <w:r>
            <w:rPr>
              <w:color w:val="auto"/>
              <w:highlight w:val="none"/>
            </w:rPr>
            <w:t>.2 工程</w:t>
          </w:r>
          <w:r>
            <w:rPr>
              <w:rFonts w:hint="eastAsia"/>
              <w:color w:val="auto"/>
              <w:highlight w:val="none"/>
            </w:rPr>
            <w:t>布置</w:t>
          </w:r>
          <w:r>
            <w:rPr>
              <w:color w:val="auto"/>
            </w:rPr>
            <w:tab/>
          </w:r>
          <w:r>
            <w:rPr>
              <w:color w:val="auto"/>
            </w:rPr>
            <w:fldChar w:fldCharType="begin"/>
          </w:r>
          <w:r>
            <w:rPr>
              <w:color w:val="auto"/>
            </w:rPr>
            <w:instrText xml:space="preserve"> PAGEREF _Toc4346 </w:instrText>
          </w:r>
          <w:r>
            <w:rPr>
              <w:color w:val="auto"/>
            </w:rPr>
            <w:fldChar w:fldCharType="separate"/>
          </w:r>
          <w:r>
            <w:rPr>
              <w:color w:val="auto"/>
            </w:rPr>
            <w:t>74</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_Toc26264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rPr>
            <w:t>5</w:t>
          </w:r>
          <w:r>
            <w:rPr>
              <w:color w:val="auto"/>
              <w:highlight w:val="none"/>
            </w:rPr>
            <w:t xml:space="preserve">.3 </w:t>
          </w:r>
          <w:r>
            <w:rPr>
              <w:rFonts w:hint="eastAsia"/>
              <w:color w:val="auto"/>
              <w:highlight w:val="none"/>
            </w:rPr>
            <w:t>渠道及建筑物工程设计</w:t>
          </w:r>
          <w:r>
            <w:rPr>
              <w:color w:val="auto"/>
            </w:rPr>
            <w:tab/>
          </w:r>
          <w:r>
            <w:rPr>
              <w:color w:val="auto"/>
            </w:rPr>
            <w:fldChar w:fldCharType="begin"/>
          </w:r>
          <w:r>
            <w:rPr>
              <w:color w:val="auto"/>
            </w:rPr>
            <w:instrText xml:space="preserve"> PAGEREF _Toc26264 </w:instrText>
          </w:r>
          <w:r>
            <w:rPr>
              <w:color w:val="auto"/>
            </w:rPr>
            <w:fldChar w:fldCharType="separate"/>
          </w:r>
          <w:r>
            <w:rPr>
              <w:color w:val="auto"/>
            </w:rPr>
            <w:t>76</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2"/>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_Toc19904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eastAsia="宋体"/>
              <w:color w:val="auto"/>
              <w:szCs w:val="32"/>
              <w:highlight w:val="none"/>
              <w:lang w:val="en-US" w:eastAsia="zh-CN"/>
            </w:rPr>
            <w:t>6</w:t>
          </w:r>
          <w:r>
            <w:rPr>
              <w:rFonts w:hint="eastAsia" w:eastAsia="宋体"/>
              <w:color w:val="auto"/>
              <w:szCs w:val="32"/>
              <w:highlight w:val="none"/>
            </w:rPr>
            <w:t xml:space="preserve"> </w:t>
          </w:r>
          <w:r>
            <w:rPr>
              <w:rFonts w:hint="eastAsia" w:eastAsia="宋体"/>
              <w:color w:val="auto"/>
              <w:szCs w:val="32"/>
              <w:highlight w:val="none"/>
              <w:lang w:val="en-US" w:eastAsia="zh-CN"/>
            </w:rPr>
            <w:t xml:space="preserve"> </w:t>
          </w:r>
          <w:r>
            <w:rPr>
              <w:rFonts w:hint="eastAsia" w:eastAsia="宋体"/>
              <w:color w:val="auto"/>
              <w:szCs w:val="32"/>
              <w:highlight w:val="none"/>
            </w:rPr>
            <w:t>消防设计</w:t>
          </w:r>
          <w:r>
            <w:rPr>
              <w:color w:val="auto"/>
            </w:rPr>
            <w:tab/>
          </w:r>
          <w:r>
            <w:rPr>
              <w:color w:val="auto"/>
            </w:rPr>
            <w:fldChar w:fldCharType="begin"/>
          </w:r>
          <w:r>
            <w:rPr>
              <w:color w:val="auto"/>
            </w:rPr>
            <w:instrText xml:space="preserve"> PAGEREF _Toc19904 </w:instrText>
          </w:r>
          <w:r>
            <w:rPr>
              <w:color w:val="auto"/>
            </w:rPr>
            <w:fldChar w:fldCharType="separate"/>
          </w:r>
          <w:r>
            <w:rPr>
              <w:color w:val="auto"/>
            </w:rPr>
            <w:t>86</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_Toc20016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6</w:t>
          </w:r>
          <w:r>
            <w:rPr>
              <w:color w:val="auto"/>
              <w:highlight w:val="none"/>
            </w:rPr>
            <w:t>.1 概述</w:t>
          </w:r>
          <w:r>
            <w:rPr>
              <w:color w:val="auto"/>
            </w:rPr>
            <w:tab/>
          </w:r>
          <w:r>
            <w:rPr>
              <w:color w:val="auto"/>
            </w:rPr>
            <w:fldChar w:fldCharType="begin"/>
          </w:r>
          <w:r>
            <w:rPr>
              <w:color w:val="auto"/>
            </w:rPr>
            <w:instrText xml:space="preserve"> PAGEREF _Toc20016 </w:instrText>
          </w:r>
          <w:r>
            <w:rPr>
              <w:color w:val="auto"/>
            </w:rPr>
            <w:fldChar w:fldCharType="separate"/>
          </w:r>
          <w:r>
            <w:rPr>
              <w:color w:val="auto"/>
            </w:rPr>
            <w:t>86</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_Toc8536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6</w:t>
          </w:r>
          <w:r>
            <w:rPr>
              <w:color w:val="auto"/>
              <w:highlight w:val="none"/>
            </w:rPr>
            <w:t>.2 消防总体布置</w:t>
          </w:r>
          <w:r>
            <w:rPr>
              <w:color w:val="auto"/>
            </w:rPr>
            <w:tab/>
          </w:r>
          <w:r>
            <w:rPr>
              <w:color w:val="auto"/>
            </w:rPr>
            <w:fldChar w:fldCharType="begin"/>
          </w:r>
          <w:r>
            <w:rPr>
              <w:color w:val="auto"/>
            </w:rPr>
            <w:instrText xml:space="preserve"> PAGEREF _Toc8536 </w:instrText>
          </w:r>
          <w:r>
            <w:rPr>
              <w:color w:val="auto"/>
            </w:rPr>
            <w:fldChar w:fldCharType="separate"/>
          </w:r>
          <w:r>
            <w:rPr>
              <w:color w:val="auto"/>
            </w:rPr>
            <w:t>87</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2"/>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_Toc2022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szCs w:val="32"/>
              <w:highlight w:val="none"/>
              <w:lang w:val="en-US" w:eastAsia="zh-CN"/>
            </w:rPr>
            <w:t xml:space="preserve">7  </w:t>
          </w:r>
          <w:r>
            <w:rPr>
              <w:color w:val="auto"/>
              <w:szCs w:val="32"/>
              <w:highlight w:val="none"/>
            </w:rPr>
            <w:t>施工组织设计</w:t>
          </w:r>
          <w:r>
            <w:rPr>
              <w:color w:val="auto"/>
            </w:rPr>
            <w:tab/>
          </w:r>
          <w:r>
            <w:rPr>
              <w:color w:val="auto"/>
            </w:rPr>
            <w:fldChar w:fldCharType="begin"/>
          </w:r>
          <w:r>
            <w:rPr>
              <w:color w:val="auto"/>
            </w:rPr>
            <w:instrText xml:space="preserve"> PAGEREF _Toc2022 </w:instrText>
          </w:r>
          <w:r>
            <w:rPr>
              <w:color w:val="auto"/>
            </w:rPr>
            <w:fldChar w:fldCharType="separate"/>
          </w:r>
          <w:r>
            <w:rPr>
              <w:color w:val="auto"/>
            </w:rPr>
            <w:t>88</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_Toc23514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7</w:t>
          </w:r>
          <w:r>
            <w:rPr>
              <w:rFonts w:hint="eastAsia"/>
              <w:color w:val="auto"/>
              <w:highlight w:val="none"/>
            </w:rPr>
            <w:t>.</w:t>
          </w:r>
          <w:r>
            <w:rPr>
              <w:color w:val="auto"/>
              <w:highlight w:val="none"/>
            </w:rPr>
            <w:t>1</w:t>
          </w:r>
          <w:r>
            <w:rPr>
              <w:rFonts w:hint="eastAsia"/>
              <w:color w:val="auto"/>
              <w:highlight w:val="none"/>
            </w:rPr>
            <w:t xml:space="preserve"> </w:t>
          </w:r>
          <w:r>
            <w:rPr>
              <w:color w:val="auto"/>
              <w:highlight w:val="none"/>
            </w:rPr>
            <w:t>施工条件</w:t>
          </w:r>
          <w:r>
            <w:rPr>
              <w:color w:val="auto"/>
            </w:rPr>
            <w:tab/>
          </w:r>
          <w:r>
            <w:rPr>
              <w:color w:val="auto"/>
            </w:rPr>
            <w:fldChar w:fldCharType="begin"/>
          </w:r>
          <w:r>
            <w:rPr>
              <w:color w:val="auto"/>
            </w:rPr>
            <w:instrText xml:space="preserve"> PAGEREF _Toc23514 </w:instrText>
          </w:r>
          <w:r>
            <w:rPr>
              <w:color w:val="auto"/>
            </w:rPr>
            <w:fldChar w:fldCharType="separate"/>
          </w:r>
          <w:r>
            <w:rPr>
              <w:color w:val="auto"/>
            </w:rPr>
            <w:t>88</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_Toc4630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7.</w:t>
          </w:r>
          <w:r>
            <w:rPr>
              <w:color w:val="auto"/>
              <w:highlight w:val="none"/>
            </w:rPr>
            <w:t>2</w:t>
          </w:r>
          <w:r>
            <w:rPr>
              <w:rFonts w:hint="eastAsia"/>
              <w:color w:val="auto"/>
              <w:highlight w:val="none"/>
            </w:rPr>
            <w:t xml:space="preserve"> </w:t>
          </w:r>
          <w:r>
            <w:rPr>
              <w:color w:val="auto"/>
              <w:highlight w:val="none"/>
            </w:rPr>
            <w:t>施工导流</w:t>
          </w:r>
          <w:r>
            <w:rPr>
              <w:color w:val="auto"/>
            </w:rPr>
            <w:tab/>
          </w:r>
          <w:r>
            <w:rPr>
              <w:color w:val="auto"/>
            </w:rPr>
            <w:fldChar w:fldCharType="begin"/>
          </w:r>
          <w:r>
            <w:rPr>
              <w:color w:val="auto"/>
            </w:rPr>
            <w:instrText xml:space="preserve"> PAGEREF _Toc4630 </w:instrText>
          </w:r>
          <w:r>
            <w:rPr>
              <w:color w:val="auto"/>
            </w:rPr>
            <w:fldChar w:fldCharType="separate"/>
          </w:r>
          <w:r>
            <w:rPr>
              <w:color w:val="auto"/>
            </w:rPr>
            <w:t>89</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_Toc15946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7</w:t>
          </w:r>
          <w:r>
            <w:rPr>
              <w:rFonts w:hint="eastAsia"/>
              <w:color w:val="auto"/>
              <w:highlight w:val="none"/>
            </w:rPr>
            <w:t>.</w:t>
          </w:r>
          <w:r>
            <w:rPr>
              <w:color w:val="auto"/>
              <w:highlight w:val="none"/>
            </w:rPr>
            <w:t>3</w:t>
          </w:r>
          <w:r>
            <w:rPr>
              <w:rFonts w:hint="eastAsia"/>
              <w:color w:val="auto"/>
              <w:highlight w:val="none"/>
            </w:rPr>
            <w:t xml:space="preserve"> </w:t>
          </w:r>
          <w:r>
            <w:rPr>
              <w:color w:val="auto"/>
              <w:highlight w:val="none"/>
            </w:rPr>
            <w:t>主体工程施工</w:t>
          </w:r>
          <w:r>
            <w:rPr>
              <w:color w:val="auto"/>
            </w:rPr>
            <w:tab/>
          </w:r>
          <w:r>
            <w:rPr>
              <w:color w:val="auto"/>
            </w:rPr>
            <w:fldChar w:fldCharType="begin"/>
          </w:r>
          <w:r>
            <w:rPr>
              <w:color w:val="auto"/>
            </w:rPr>
            <w:instrText xml:space="preserve"> PAGEREF _Toc15946 </w:instrText>
          </w:r>
          <w:r>
            <w:rPr>
              <w:color w:val="auto"/>
            </w:rPr>
            <w:fldChar w:fldCharType="separate"/>
          </w:r>
          <w:r>
            <w:rPr>
              <w:color w:val="auto"/>
            </w:rPr>
            <w:t>89</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_Toc23907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7</w:t>
          </w:r>
          <w:r>
            <w:rPr>
              <w:rFonts w:hint="eastAsia"/>
              <w:color w:val="auto"/>
              <w:highlight w:val="none"/>
            </w:rPr>
            <w:t>.</w:t>
          </w:r>
          <w:r>
            <w:rPr>
              <w:color w:val="auto"/>
              <w:highlight w:val="none"/>
            </w:rPr>
            <w:t>4</w:t>
          </w:r>
          <w:r>
            <w:rPr>
              <w:rFonts w:hint="eastAsia"/>
              <w:color w:val="auto"/>
              <w:highlight w:val="none"/>
            </w:rPr>
            <w:t xml:space="preserve"> </w:t>
          </w:r>
          <w:r>
            <w:rPr>
              <w:color w:val="auto"/>
              <w:highlight w:val="none"/>
            </w:rPr>
            <w:t>施工交通及施工总平面布置</w:t>
          </w:r>
          <w:r>
            <w:rPr>
              <w:color w:val="auto"/>
            </w:rPr>
            <w:tab/>
          </w:r>
          <w:r>
            <w:rPr>
              <w:color w:val="auto"/>
            </w:rPr>
            <w:fldChar w:fldCharType="begin"/>
          </w:r>
          <w:r>
            <w:rPr>
              <w:color w:val="auto"/>
            </w:rPr>
            <w:instrText xml:space="preserve"> PAGEREF _Toc23907 </w:instrText>
          </w:r>
          <w:r>
            <w:rPr>
              <w:color w:val="auto"/>
            </w:rPr>
            <w:fldChar w:fldCharType="separate"/>
          </w:r>
          <w:r>
            <w:rPr>
              <w:color w:val="auto"/>
            </w:rPr>
            <w:t>91</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_Toc9132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7</w:t>
          </w:r>
          <w:r>
            <w:rPr>
              <w:rFonts w:hint="eastAsia"/>
              <w:color w:val="auto"/>
              <w:highlight w:val="none"/>
            </w:rPr>
            <w:t>.</w:t>
          </w:r>
          <w:r>
            <w:rPr>
              <w:color w:val="auto"/>
              <w:highlight w:val="none"/>
            </w:rPr>
            <w:t>5</w:t>
          </w:r>
          <w:r>
            <w:rPr>
              <w:rFonts w:hint="eastAsia"/>
              <w:color w:val="auto"/>
              <w:highlight w:val="none"/>
            </w:rPr>
            <w:t xml:space="preserve"> </w:t>
          </w:r>
          <w:r>
            <w:rPr>
              <w:color w:val="auto"/>
              <w:highlight w:val="none"/>
            </w:rPr>
            <w:t>施工总进度</w:t>
          </w:r>
          <w:r>
            <w:rPr>
              <w:color w:val="auto"/>
            </w:rPr>
            <w:tab/>
          </w:r>
          <w:r>
            <w:rPr>
              <w:color w:val="auto"/>
            </w:rPr>
            <w:fldChar w:fldCharType="begin"/>
          </w:r>
          <w:r>
            <w:rPr>
              <w:color w:val="auto"/>
            </w:rPr>
            <w:instrText xml:space="preserve"> PAGEREF _Toc9132 </w:instrText>
          </w:r>
          <w:r>
            <w:rPr>
              <w:color w:val="auto"/>
            </w:rPr>
            <w:fldChar w:fldCharType="separate"/>
          </w:r>
          <w:r>
            <w:rPr>
              <w:color w:val="auto"/>
            </w:rPr>
            <w:t>92</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_Toc31236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7</w:t>
          </w:r>
          <w:r>
            <w:rPr>
              <w:rFonts w:hint="eastAsia"/>
              <w:color w:val="auto"/>
              <w:highlight w:val="none"/>
            </w:rPr>
            <w:t xml:space="preserve">.6 </w:t>
          </w:r>
          <w:r>
            <w:rPr>
              <w:color w:val="auto"/>
              <w:highlight w:val="none"/>
            </w:rPr>
            <w:t>施工</w:t>
          </w:r>
          <w:r>
            <w:rPr>
              <w:rFonts w:hint="eastAsia"/>
              <w:color w:val="auto"/>
              <w:highlight w:val="none"/>
            </w:rPr>
            <w:t>招标</w:t>
          </w:r>
          <w:r>
            <w:rPr>
              <w:color w:val="auto"/>
            </w:rPr>
            <w:tab/>
          </w:r>
          <w:r>
            <w:rPr>
              <w:color w:val="auto"/>
            </w:rPr>
            <w:fldChar w:fldCharType="begin"/>
          </w:r>
          <w:r>
            <w:rPr>
              <w:color w:val="auto"/>
            </w:rPr>
            <w:instrText xml:space="preserve"> PAGEREF _Toc31236 </w:instrText>
          </w:r>
          <w:r>
            <w:rPr>
              <w:color w:val="auto"/>
            </w:rPr>
            <w:fldChar w:fldCharType="separate"/>
          </w:r>
          <w:r>
            <w:rPr>
              <w:color w:val="auto"/>
            </w:rPr>
            <w:t>92</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2"/>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_Toc32659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szCs w:val="32"/>
              <w:highlight w:val="none"/>
              <w:lang w:val="en-US" w:eastAsia="zh-CN"/>
            </w:rPr>
            <w:t>8</w:t>
          </w:r>
          <w:r>
            <w:rPr>
              <w:rFonts w:hint="eastAsia"/>
              <w:color w:val="auto"/>
              <w:szCs w:val="32"/>
              <w:highlight w:val="none"/>
            </w:rPr>
            <w:t xml:space="preserve">  建设征地与移民安置</w:t>
          </w:r>
          <w:r>
            <w:rPr>
              <w:color w:val="auto"/>
            </w:rPr>
            <w:tab/>
          </w:r>
          <w:r>
            <w:rPr>
              <w:color w:val="auto"/>
            </w:rPr>
            <w:fldChar w:fldCharType="begin"/>
          </w:r>
          <w:r>
            <w:rPr>
              <w:color w:val="auto"/>
            </w:rPr>
            <w:instrText xml:space="preserve"> PAGEREF _Toc32659 </w:instrText>
          </w:r>
          <w:r>
            <w:rPr>
              <w:color w:val="auto"/>
            </w:rPr>
            <w:fldChar w:fldCharType="separate"/>
          </w:r>
          <w:r>
            <w:rPr>
              <w:color w:val="auto"/>
            </w:rPr>
            <w:t>94</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_Toc2195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8</w:t>
          </w:r>
          <w:r>
            <w:rPr>
              <w:color w:val="auto"/>
              <w:highlight w:val="none"/>
            </w:rPr>
            <w:t xml:space="preserve">.1 </w:t>
          </w:r>
          <w:r>
            <w:rPr>
              <w:rFonts w:hint="eastAsia"/>
              <w:color w:val="auto"/>
              <w:highlight w:val="none"/>
            </w:rPr>
            <w:t>概述</w:t>
          </w:r>
          <w:r>
            <w:rPr>
              <w:color w:val="auto"/>
            </w:rPr>
            <w:tab/>
          </w:r>
          <w:r>
            <w:rPr>
              <w:color w:val="auto"/>
            </w:rPr>
            <w:fldChar w:fldCharType="begin"/>
          </w:r>
          <w:r>
            <w:rPr>
              <w:color w:val="auto"/>
            </w:rPr>
            <w:instrText xml:space="preserve"> PAGEREF _Toc2195 </w:instrText>
          </w:r>
          <w:r>
            <w:rPr>
              <w:color w:val="auto"/>
            </w:rPr>
            <w:fldChar w:fldCharType="separate"/>
          </w:r>
          <w:r>
            <w:rPr>
              <w:color w:val="auto"/>
            </w:rPr>
            <w:t>94</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_Toc17979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8</w:t>
          </w:r>
          <w:r>
            <w:rPr>
              <w:rFonts w:hint="eastAsia"/>
              <w:color w:val="auto"/>
              <w:highlight w:val="none"/>
            </w:rPr>
            <w:t>.2 设计原则及依据</w:t>
          </w:r>
          <w:r>
            <w:rPr>
              <w:color w:val="auto"/>
            </w:rPr>
            <w:tab/>
          </w:r>
          <w:r>
            <w:rPr>
              <w:color w:val="auto"/>
            </w:rPr>
            <w:fldChar w:fldCharType="begin"/>
          </w:r>
          <w:r>
            <w:rPr>
              <w:color w:val="auto"/>
            </w:rPr>
            <w:instrText xml:space="preserve"> PAGEREF _Toc17979 </w:instrText>
          </w:r>
          <w:r>
            <w:rPr>
              <w:color w:val="auto"/>
            </w:rPr>
            <w:fldChar w:fldCharType="separate"/>
          </w:r>
          <w:r>
            <w:rPr>
              <w:color w:val="auto"/>
            </w:rPr>
            <w:t>94</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_Toc21054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8.3 工程占地范围及实物指标</w:t>
          </w:r>
          <w:r>
            <w:rPr>
              <w:color w:val="auto"/>
            </w:rPr>
            <w:tab/>
          </w:r>
          <w:r>
            <w:rPr>
              <w:color w:val="auto"/>
            </w:rPr>
            <w:fldChar w:fldCharType="begin"/>
          </w:r>
          <w:r>
            <w:rPr>
              <w:color w:val="auto"/>
            </w:rPr>
            <w:instrText xml:space="preserve"> PAGEREF _Toc21054 </w:instrText>
          </w:r>
          <w:r>
            <w:rPr>
              <w:color w:val="auto"/>
            </w:rPr>
            <w:fldChar w:fldCharType="separate"/>
          </w:r>
          <w:r>
            <w:rPr>
              <w:color w:val="auto"/>
            </w:rPr>
            <w:t>95</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_Toc12916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8.4 工程占地补偿标准</w:t>
          </w:r>
          <w:r>
            <w:rPr>
              <w:color w:val="auto"/>
            </w:rPr>
            <w:tab/>
          </w:r>
          <w:r>
            <w:rPr>
              <w:color w:val="auto"/>
            </w:rPr>
            <w:fldChar w:fldCharType="begin"/>
          </w:r>
          <w:r>
            <w:rPr>
              <w:color w:val="auto"/>
            </w:rPr>
            <w:instrText xml:space="preserve"> PAGEREF _Toc12916 </w:instrText>
          </w:r>
          <w:r>
            <w:rPr>
              <w:color w:val="auto"/>
            </w:rPr>
            <w:fldChar w:fldCharType="separate"/>
          </w:r>
          <w:r>
            <w:rPr>
              <w:color w:val="auto"/>
            </w:rPr>
            <w:t>95</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_Toc19333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8.5 占地补偿投资总估算</w:t>
          </w:r>
          <w:r>
            <w:rPr>
              <w:color w:val="auto"/>
            </w:rPr>
            <w:tab/>
          </w:r>
          <w:r>
            <w:rPr>
              <w:color w:val="auto"/>
            </w:rPr>
            <w:fldChar w:fldCharType="begin"/>
          </w:r>
          <w:r>
            <w:rPr>
              <w:color w:val="auto"/>
            </w:rPr>
            <w:instrText xml:space="preserve"> PAGEREF _Toc19333 </w:instrText>
          </w:r>
          <w:r>
            <w:rPr>
              <w:color w:val="auto"/>
            </w:rPr>
            <w:fldChar w:fldCharType="separate"/>
          </w:r>
          <w:r>
            <w:rPr>
              <w:color w:val="auto"/>
            </w:rPr>
            <w:t>96</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2"/>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_Toc16359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szCs w:val="32"/>
              <w:highlight w:val="none"/>
              <w:lang w:val="en-US" w:eastAsia="zh-CN"/>
            </w:rPr>
            <w:t>9</w:t>
          </w:r>
          <w:r>
            <w:rPr>
              <w:rFonts w:hint="eastAsia"/>
              <w:color w:val="auto"/>
              <w:szCs w:val="32"/>
              <w:highlight w:val="none"/>
            </w:rPr>
            <w:t xml:space="preserve">  环境保护设计</w:t>
          </w:r>
          <w:r>
            <w:rPr>
              <w:color w:val="auto"/>
            </w:rPr>
            <w:tab/>
          </w:r>
          <w:r>
            <w:rPr>
              <w:color w:val="auto"/>
            </w:rPr>
            <w:fldChar w:fldCharType="begin"/>
          </w:r>
          <w:r>
            <w:rPr>
              <w:color w:val="auto"/>
            </w:rPr>
            <w:instrText xml:space="preserve"> PAGEREF _Toc16359 </w:instrText>
          </w:r>
          <w:r>
            <w:rPr>
              <w:color w:val="auto"/>
            </w:rPr>
            <w:fldChar w:fldCharType="separate"/>
          </w:r>
          <w:r>
            <w:rPr>
              <w:color w:val="auto"/>
            </w:rPr>
            <w:t>98</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_Toc7663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9.1设计依据</w:t>
          </w:r>
          <w:r>
            <w:rPr>
              <w:color w:val="auto"/>
            </w:rPr>
            <w:tab/>
          </w:r>
          <w:r>
            <w:rPr>
              <w:color w:val="auto"/>
            </w:rPr>
            <w:fldChar w:fldCharType="begin"/>
          </w:r>
          <w:r>
            <w:rPr>
              <w:color w:val="auto"/>
            </w:rPr>
            <w:instrText xml:space="preserve"> PAGEREF _Toc7663 </w:instrText>
          </w:r>
          <w:r>
            <w:rPr>
              <w:color w:val="auto"/>
            </w:rPr>
            <w:fldChar w:fldCharType="separate"/>
          </w:r>
          <w:r>
            <w:rPr>
              <w:color w:val="auto"/>
            </w:rPr>
            <w:t>98</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_Toc9341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9.2环境影响评价结论</w:t>
          </w:r>
          <w:r>
            <w:rPr>
              <w:color w:val="auto"/>
            </w:rPr>
            <w:tab/>
          </w:r>
          <w:r>
            <w:rPr>
              <w:color w:val="auto"/>
            </w:rPr>
            <w:fldChar w:fldCharType="begin"/>
          </w:r>
          <w:r>
            <w:rPr>
              <w:color w:val="auto"/>
            </w:rPr>
            <w:instrText xml:space="preserve"> PAGEREF _Toc9341 </w:instrText>
          </w:r>
          <w:r>
            <w:rPr>
              <w:color w:val="auto"/>
            </w:rPr>
            <w:fldChar w:fldCharType="separate"/>
          </w:r>
          <w:r>
            <w:rPr>
              <w:color w:val="auto"/>
            </w:rPr>
            <w:t>98</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_Toc30808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9.3环境保护措施</w:t>
          </w:r>
          <w:r>
            <w:rPr>
              <w:color w:val="auto"/>
            </w:rPr>
            <w:tab/>
          </w:r>
          <w:r>
            <w:rPr>
              <w:color w:val="auto"/>
            </w:rPr>
            <w:fldChar w:fldCharType="begin"/>
          </w:r>
          <w:r>
            <w:rPr>
              <w:color w:val="auto"/>
            </w:rPr>
            <w:instrText xml:space="preserve"> PAGEREF _Toc30808 </w:instrText>
          </w:r>
          <w:r>
            <w:rPr>
              <w:color w:val="auto"/>
            </w:rPr>
            <w:fldChar w:fldCharType="separate"/>
          </w:r>
          <w:r>
            <w:rPr>
              <w:color w:val="auto"/>
            </w:rPr>
            <w:t>99</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2"/>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_Toc10726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szCs w:val="32"/>
              <w:highlight w:val="none"/>
              <w:lang w:val="en-US" w:eastAsia="zh-CN"/>
            </w:rPr>
            <w:t>10</w:t>
          </w:r>
          <w:r>
            <w:rPr>
              <w:rFonts w:hint="eastAsia"/>
              <w:color w:val="auto"/>
              <w:szCs w:val="32"/>
              <w:highlight w:val="none"/>
            </w:rPr>
            <w:t xml:space="preserve">  水土保持设计</w:t>
          </w:r>
          <w:r>
            <w:rPr>
              <w:color w:val="auto"/>
            </w:rPr>
            <w:tab/>
          </w:r>
          <w:r>
            <w:rPr>
              <w:color w:val="auto"/>
            </w:rPr>
            <w:fldChar w:fldCharType="begin"/>
          </w:r>
          <w:r>
            <w:rPr>
              <w:color w:val="auto"/>
            </w:rPr>
            <w:instrText xml:space="preserve"> PAGEREF _Toc10726 </w:instrText>
          </w:r>
          <w:r>
            <w:rPr>
              <w:color w:val="auto"/>
            </w:rPr>
            <w:fldChar w:fldCharType="separate"/>
          </w:r>
          <w:r>
            <w:rPr>
              <w:color w:val="auto"/>
            </w:rPr>
            <w:t>101</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_Toc8906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10.1设计依据</w:t>
          </w:r>
          <w:r>
            <w:rPr>
              <w:color w:val="auto"/>
            </w:rPr>
            <w:tab/>
          </w:r>
          <w:r>
            <w:rPr>
              <w:color w:val="auto"/>
            </w:rPr>
            <w:fldChar w:fldCharType="begin"/>
          </w:r>
          <w:r>
            <w:rPr>
              <w:color w:val="auto"/>
            </w:rPr>
            <w:instrText xml:space="preserve"> PAGEREF _Toc8906 </w:instrText>
          </w:r>
          <w:r>
            <w:rPr>
              <w:color w:val="auto"/>
            </w:rPr>
            <w:fldChar w:fldCharType="separate"/>
          </w:r>
          <w:r>
            <w:rPr>
              <w:color w:val="auto"/>
            </w:rPr>
            <w:t>101</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_Toc4258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10.2水土流失现状</w:t>
          </w:r>
          <w:r>
            <w:rPr>
              <w:color w:val="auto"/>
            </w:rPr>
            <w:tab/>
          </w:r>
          <w:r>
            <w:rPr>
              <w:color w:val="auto"/>
            </w:rPr>
            <w:fldChar w:fldCharType="begin"/>
          </w:r>
          <w:r>
            <w:rPr>
              <w:color w:val="auto"/>
            </w:rPr>
            <w:instrText xml:space="preserve"> PAGEREF _Toc4258 </w:instrText>
          </w:r>
          <w:r>
            <w:rPr>
              <w:color w:val="auto"/>
            </w:rPr>
            <w:fldChar w:fldCharType="separate"/>
          </w:r>
          <w:r>
            <w:rPr>
              <w:color w:val="auto"/>
            </w:rPr>
            <w:t>101</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_Toc31230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10.3水土流失预测</w:t>
          </w:r>
          <w:r>
            <w:rPr>
              <w:color w:val="auto"/>
            </w:rPr>
            <w:tab/>
          </w:r>
          <w:r>
            <w:rPr>
              <w:color w:val="auto"/>
            </w:rPr>
            <w:fldChar w:fldCharType="begin"/>
          </w:r>
          <w:r>
            <w:rPr>
              <w:color w:val="auto"/>
            </w:rPr>
            <w:instrText xml:space="preserve"> PAGEREF _Toc31230 </w:instrText>
          </w:r>
          <w:r>
            <w:rPr>
              <w:color w:val="auto"/>
            </w:rPr>
            <w:fldChar w:fldCharType="separate"/>
          </w:r>
          <w:r>
            <w:rPr>
              <w:color w:val="auto"/>
            </w:rPr>
            <w:t>101</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_Toc12273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10.4水土保持措施</w:t>
          </w:r>
          <w:r>
            <w:rPr>
              <w:color w:val="auto"/>
            </w:rPr>
            <w:tab/>
          </w:r>
          <w:r>
            <w:rPr>
              <w:color w:val="auto"/>
            </w:rPr>
            <w:fldChar w:fldCharType="begin"/>
          </w:r>
          <w:r>
            <w:rPr>
              <w:color w:val="auto"/>
            </w:rPr>
            <w:instrText xml:space="preserve"> PAGEREF _Toc12273 </w:instrText>
          </w:r>
          <w:r>
            <w:rPr>
              <w:color w:val="auto"/>
            </w:rPr>
            <w:fldChar w:fldCharType="separate"/>
          </w:r>
          <w:r>
            <w:rPr>
              <w:color w:val="auto"/>
            </w:rPr>
            <w:t>101</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2"/>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_Toc22514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szCs w:val="32"/>
              <w:highlight w:val="none"/>
              <w:lang w:val="en-US" w:eastAsia="zh-CN"/>
            </w:rPr>
            <w:t>11</w:t>
          </w:r>
          <w:r>
            <w:rPr>
              <w:rFonts w:hint="eastAsia"/>
              <w:color w:val="auto"/>
              <w:szCs w:val="32"/>
              <w:highlight w:val="none"/>
            </w:rPr>
            <w:t xml:space="preserve">  劳动安全及工业卫生</w:t>
          </w:r>
          <w:r>
            <w:rPr>
              <w:color w:val="auto"/>
            </w:rPr>
            <w:tab/>
          </w:r>
          <w:r>
            <w:rPr>
              <w:color w:val="auto"/>
            </w:rPr>
            <w:fldChar w:fldCharType="begin"/>
          </w:r>
          <w:r>
            <w:rPr>
              <w:color w:val="auto"/>
            </w:rPr>
            <w:instrText xml:space="preserve"> PAGEREF _Toc22514 </w:instrText>
          </w:r>
          <w:r>
            <w:rPr>
              <w:color w:val="auto"/>
            </w:rPr>
            <w:fldChar w:fldCharType="separate"/>
          </w:r>
          <w:r>
            <w:rPr>
              <w:color w:val="auto"/>
            </w:rPr>
            <w:t>103</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_Toc25233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11.1劳动安全</w:t>
          </w:r>
          <w:r>
            <w:rPr>
              <w:color w:val="auto"/>
            </w:rPr>
            <w:tab/>
          </w:r>
          <w:r>
            <w:rPr>
              <w:color w:val="auto"/>
            </w:rPr>
            <w:fldChar w:fldCharType="begin"/>
          </w:r>
          <w:r>
            <w:rPr>
              <w:color w:val="auto"/>
            </w:rPr>
            <w:instrText xml:space="preserve"> PAGEREF _Toc25233 </w:instrText>
          </w:r>
          <w:r>
            <w:rPr>
              <w:color w:val="auto"/>
            </w:rPr>
            <w:fldChar w:fldCharType="separate"/>
          </w:r>
          <w:r>
            <w:rPr>
              <w:color w:val="auto"/>
            </w:rPr>
            <w:t>103</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_Toc23104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11.2工业卫生</w:t>
          </w:r>
          <w:r>
            <w:rPr>
              <w:color w:val="auto"/>
            </w:rPr>
            <w:tab/>
          </w:r>
          <w:r>
            <w:rPr>
              <w:color w:val="auto"/>
            </w:rPr>
            <w:fldChar w:fldCharType="begin"/>
          </w:r>
          <w:r>
            <w:rPr>
              <w:color w:val="auto"/>
            </w:rPr>
            <w:instrText xml:space="preserve"> PAGEREF _Toc23104 </w:instrText>
          </w:r>
          <w:r>
            <w:rPr>
              <w:color w:val="auto"/>
            </w:rPr>
            <w:fldChar w:fldCharType="separate"/>
          </w:r>
          <w:r>
            <w:rPr>
              <w:color w:val="auto"/>
            </w:rPr>
            <w:t>105</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_Toc3645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11.3安全卫生设施</w:t>
          </w:r>
          <w:r>
            <w:rPr>
              <w:color w:val="auto"/>
            </w:rPr>
            <w:tab/>
          </w:r>
          <w:r>
            <w:rPr>
              <w:color w:val="auto"/>
            </w:rPr>
            <w:fldChar w:fldCharType="begin"/>
          </w:r>
          <w:r>
            <w:rPr>
              <w:color w:val="auto"/>
            </w:rPr>
            <w:instrText xml:space="preserve"> PAGEREF _Toc3645 </w:instrText>
          </w:r>
          <w:r>
            <w:rPr>
              <w:color w:val="auto"/>
            </w:rPr>
            <w:fldChar w:fldCharType="separate"/>
          </w:r>
          <w:r>
            <w:rPr>
              <w:color w:val="auto"/>
            </w:rPr>
            <w:t>107</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2"/>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_Toc15383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szCs w:val="32"/>
              <w:highlight w:val="none"/>
              <w:lang w:val="en-US" w:eastAsia="zh-CN"/>
            </w:rPr>
            <w:t>12</w:t>
          </w:r>
          <w:r>
            <w:rPr>
              <w:color w:val="auto"/>
              <w:szCs w:val="32"/>
              <w:highlight w:val="none"/>
            </w:rPr>
            <w:t>　节能设计</w:t>
          </w:r>
          <w:r>
            <w:rPr>
              <w:color w:val="auto"/>
            </w:rPr>
            <w:tab/>
          </w:r>
          <w:r>
            <w:rPr>
              <w:color w:val="auto"/>
            </w:rPr>
            <w:fldChar w:fldCharType="begin"/>
          </w:r>
          <w:r>
            <w:rPr>
              <w:color w:val="auto"/>
            </w:rPr>
            <w:instrText xml:space="preserve"> PAGEREF _Toc15383 </w:instrText>
          </w:r>
          <w:r>
            <w:rPr>
              <w:color w:val="auto"/>
            </w:rPr>
            <w:fldChar w:fldCharType="separate"/>
          </w:r>
          <w:r>
            <w:rPr>
              <w:color w:val="auto"/>
            </w:rPr>
            <w:t>108</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_Toc17475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12.1设计依据</w:t>
          </w:r>
          <w:r>
            <w:rPr>
              <w:color w:val="auto"/>
            </w:rPr>
            <w:tab/>
          </w:r>
          <w:r>
            <w:rPr>
              <w:color w:val="auto"/>
            </w:rPr>
            <w:fldChar w:fldCharType="begin"/>
          </w:r>
          <w:r>
            <w:rPr>
              <w:color w:val="auto"/>
            </w:rPr>
            <w:instrText xml:space="preserve"> PAGEREF _Toc17475 </w:instrText>
          </w:r>
          <w:r>
            <w:rPr>
              <w:color w:val="auto"/>
            </w:rPr>
            <w:fldChar w:fldCharType="separate"/>
          </w:r>
          <w:r>
            <w:rPr>
              <w:color w:val="auto"/>
            </w:rPr>
            <w:t>108</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_Toc26882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12.2水工设计中的节能设计</w:t>
          </w:r>
          <w:r>
            <w:rPr>
              <w:color w:val="auto"/>
            </w:rPr>
            <w:tab/>
          </w:r>
          <w:r>
            <w:rPr>
              <w:color w:val="auto"/>
            </w:rPr>
            <w:fldChar w:fldCharType="begin"/>
          </w:r>
          <w:r>
            <w:rPr>
              <w:color w:val="auto"/>
            </w:rPr>
            <w:instrText xml:space="preserve"> PAGEREF _Toc26882 </w:instrText>
          </w:r>
          <w:r>
            <w:rPr>
              <w:color w:val="auto"/>
            </w:rPr>
            <w:fldChar w:fldCharType="separate"/>
          </w:r>
          <w:r>
            <w:rPr>
              <w:color w:val="auto"/>
            </w:rPr>
            <w:t>110</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_Toc11181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12.3施工组织设计中的节能设计</w:t>
          </w:r>
          <w:r>
            <w:rPr>
              <w:color w:val="auto"/>
            </w:rPr>
            <w:tab/>
          </w:r>
          <w:r>
            <w:rPr>
              <w:color w:val="auto"/>
            </w:rPr>
            <w:fldChar w:fldCharType="begin"/>
          </w:r>
          <w:r>
            <w:rPr>
              <w:color w:val="auto"/>
            </w:rPr>
            <w:instrText xml:space="preserve"> PAGEREF _Toc11181 </w:instrText>
          </w:r>
          <w:r>
            <w:rPr>
              <w:color w:val="auto"/>
            </w:rPr>
            <w:fldChar w:fldCharType="separate"/>
          </w:r>
          <w:r>
            <w:rPr>
              <w:color w:val="auto"/>
            </w:rPr>
            <w:t>110</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_Toc22242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12.4节能效果综合评价</w:t>
          </w:r>
          <w:r>
            <w:rPr>
              <w:color w:val="auto"/>
            </w:rPr>
            <w:tab/>
          </w:r>
          <w:r>
            <w:rPr>
              <w:color w:val="auto"/>
            </w:rPr>
            <w:fldChar w:fldCharType="begin"/>
          </w:r>
          <w:r>
            <w:rPr>
              <w:color w:val="auto"/>
            </w:rPr>
            <w:instrText xml:space="preserve"> PAGEREF _Toc22242 </w:instrText>
          </w:r>
          <w:r>
            <w:rPr>
              <w:color w:val="auto"/>
            </w:rPr>
            <w:fldChar w:fldCharType="separate"/>
          </w:r>
          <w:r>
            <w:rPr>
              <w:color w:val="auto"/>
            </w:rPr>
            <w:t>111</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2"/>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_Toc10705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szCs w:val="32"/>
              <w:highlight w:val="none"/>
              <w:lang w:val="en-US" w:eastAsia="zh-CN"/>
            </w:rPr>
            <w:t>13</w:t>
          </w:r>
          <w:r>
            <w:rPr>
              <w:color w:val="auto"/>
              <w:szCs w:val="32"/>
              <w:highlight w:val="none"/>
            </w:rPr>
            <w:t xml:space="preserve">  工程管理</w:t>
          </w:r>
          <w:r>
            <w:rPr>
              <w:rFonts w:hint="eastAsia"/>
              <w:color w:val="auto"/>
              <w:szCs w:val="32"/>
              <w:highlight w:val="none"/>
            </w:rPr>
            <w:t>设计</w:t>
          </w:r>
          <w:r>
            <w:rPr>
              <w:color w:val="auto"/>
            </w:rPr>
            <w:tab/>
          </w:r>
          <w:r>
            <w:rPr>
              <w:color w:val="auto"/>
            </w:rPr>
            <w:fldChar w:fldCharType="begin"/>
          </w:r>
          <w:r>
            <w:rPr>
              <w:color w:val="auto"/>
            </w:rPr>
            <w:instrText xml:space="preserve"> PAGEREF _Toc10705 </w:instrText>
          </w:r>
          <w:r>
            <w:rPr>
              <w:color w:val="auto"/>
            </w:rPr>
            <w:fldChar w:fldCharType="separate"/>
          </w:r>
          <w:r>
            <w:rPr>
              <w:color w:val="auto"/>
            </w:rPr>
            <w:t>113</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_Toc26825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13</w:t>
          </w:r>
          <w:r>
            <w:rPr>
              <w:rFonts w:hint="eastAsia"/>
              <w:color w:val="auto"/>
              <w:highlight w:val="none"/>
            </w:rPr>
            <w:t xml:space="preserve">.1 </w:t>
          </w:r>
          <w:r>
            <w:rPr>
              <w:color w:val="auto"/>
              <w:highlight w:val="none"/>
            </w:rPr>
            <w:t>管理</w:t>
          </w:r>
          <w:r>
            <w:rPr>
              <w:rFonts w:hint="eastAsia"/>
              <w:color w:val="auto"/>
              <w:highlight w:val="none"/>
            </w:rPr>
            <w:t>机构</w:t>
          </w:r>
          <w:r>
            <w:rPr>
              <w:color w:val="auto"/>
            </w:rPr>
            <w:tab/>
          </w:r>
          <w:r>
            <w:rPr>
              <w:color w:val="auto"/>
            </w:rPr>
            <w:fldChar w:fldCharType="begin"/>
          </w:r>
          <w:r>
            <w:rPr>
              <w:color w:val="auto"/>
            </w:rPr>
            <w:instrText xml:space="preserve"> PAGEREF _Toc26825 </w:instrText>
          </w:r>
          <w:r>
            <w:rPr>
              <w:color w:val="auto"/>
            </w:rPr>
            <w:fldChar w:fldCharType="separate"/>
          </w:r>
          <w:r>
            <w:rPr>
              <w:color w:val="auto"/>
            </w:rPr>
            <w:t>113</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_Toc9286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13</w:t>
          </w:r>
          <w:r>
            <w:rPr>
              <w:rFonts w:hint="eastAsia"/>
              <w:color w:val="auto"/>
              <w:highlight w:val="none"/>
            </w:rPr>
            <w:t xml:space="preserve">.2 </w:t>
          </w:r>
          <w:r>
            <w:rPr>
              <w:color w:val="auto"/>
              <w:highlight w:val="none"/>
            </w:rPr>
            <w:t>管理</w:t>
          </w:r>
          <w:r>
            <w:rPr>
              <w:rFonts w:hint="eastAsia"/>
              <w:color w:val="auto"/>
              <w:highlight w:val="none"/>
            </w:rPr>
            <w:t>办法</w:t>
          </w:r>
          <w:r>
            <w:rPr>
              <w:color w:val="auto"/>
            </w:rPr>
            <w:tab/>
          </w:r>
          <w:r>
            <w:rPr>
              <w:color w:val="auto"/>
            </w:rPr>
            <w:fldChar w:fldCharType="begin"/>
          </w:r>
          <w:r>
            <w:rPr>
              <w:color w:val="auto"/>
            </w:rPr>
            <w:instrText xml:space="preserve"> PAGEREF _Toc9286 </w:instrText>
          </w:r>
          <w:r>
            <w:rPr>
              <w:color w:val="auto"/>
            </w:rPr>
            <w:fldChar w:fldCharType="separate"/>
          </w:r>
          <w:r>
            <w:rPr>
              <w:color w:val="auto"/>
            </w:rPr>
            <w:t>113</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_Toc27028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13</w:t>
          </w:r>
          <w:r>
            <w:rPr>
              <w:rFonts w:hint="eastAsia"/>
              <w:color w:val="auto"/>
              <w:highlight w:val="none"/>
            </w:rPr>
            <w:t>.3 工程管理和保护区范围</w:t>
          </w:r>
          <w:r>
            <w:rPr>
              <w:color w:val="auto"/>
            </w:rPr>
            <w:tab/>
          </w:r>
          <w:r>
            <w:rPr>
              <w:color w:val="auto"/>
            </w:rPr>
            <w:fldChar w:fldCharType="begin"/>
          </w:r>
          <w:r>
            <w:rPr>
              <w:color w:val="auto"/>
            </w:rPr>
            <w:instrText xml:space="preserve"> PAGEREF _Toc27028 </w:instrText>
          </w:r>
          <w:r>
            <w:rPr>
              <w:color w:val="auto"/>
            </w:rPr>
            <w:fldChar w:fldCharType="separate"/>
          </w:r>
          <w:r>
            <w:rPr>
              <w:color w:val="auto"/>
            </w:rPr>
            <w:t>114</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_Toc20362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13</w:t>
          </w:r>
          <w:r>
            <w:rPr>
              <w:rFonts w:hint="eastAsia"/>
              <w:color w:val="auto"/>
              <w:highlight w:val="none"/>
            </w:rPr>
            <w:t>.4 工程管理设施</w:t>
          </w:r>
          <w:r>
            <w:rPr>
              <w:color w:val="auto"/>
            </w:rPr>
            <w:tab/>
          </w:r>
          <w:r>
            <w:rPr>
              <w:color w:val="auto"/>
            </w:rPr>
            <w:fldChar w:fldCharType="begin"/>
          </w:r>
          <w:r>
            <w:rPr>
              <w:color w:val="auto"/>
            </w:rPr>
            <w:instrText xml:space="preserve"> PAGEREF _Toc20362 </w:instrText>
          </w:r>
          <w:r>
            <w:rPr>
              <w:color w:val="auto"/>
            </w:rPr>
            <w:fldChar w:fldCharType="separate"/>
          </w:r>
          <w:r>
            <w:rPr>
              <w:color w:val="auto"/>
            </w:rPr>
            <w:t>115</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_Toc25722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13</w:t>
          </w:r>
          <w:r>
            <w:rPr>
              <w:rFonts w:hint="eastAsia"/>
              <w:color w:val="auto"/>
              <w:highlight w:val="none"/>
            </w:rPr>
            <w:t>.</w:t>
          </w:r>
          <w:r>
            <w:rPr>
              <w:rFonts w:hint="eastAsia"/>
              <w:color w:val="auto"/>
              <w:highlight w:val="none"/>
              <w:lang w:val="en-US" w:eastAsia="zh-CN"/>
            </w:rPr>
            <w:t>3</w:t>
          </w:r>
          <w:r>
            <w:rPr>
              <w:rFonts w:hint="eastAsia"/>
              <w:color w:val="auto"/>
              <w:highlight w:val="none"/>
            </w:rPr>
            <w:t xml:space="preserve"> 工程管理运行费用及资金来源</w:t>
          </w:r>
          <w:r>
            <w:rPr>
              <w:color w:val="auto"/>
            </w:rPr>
            <w:tab/>
          </w:r>
          <w:r>
            <w:rPr>
              <w:color w:val="auto"/>
            </w:rPr>
            <w:fldChar w:fldCharType="begin"/>
          </w:r>
          <w:r>
            <w:rPr>
              <w:color w:val="auto"/>
            </w:rPr>
            <w:instrText xml:space="preserve"> PAGEREF _Toc25722 </w:instrText>
          </w:r>
          <w:r>
            <w:rPr>
              <w:color w:val="auto"/>
            </w:rPr>
            <w:fldChar w:fldCharType="separate"/>
          </w:r>
          <w:r>
            <w:rPr>
              <w:color w:val="auto"/>
            </w:rPr>
            <w:t>115</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2"/>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_Toc22499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szCs w:val="32"/>
              <w:highlight w:val="none"/>
              <w:lang w:val="en-US" w:eastAsia="zh-CN"/>
            </w:rPr>
            <w:t>14</w:t>
          </w:r>
          <w:r>
            <w:rPr>
              <w:rFonts w:hint="eastAsia"/>
              <w:color w:val="auto"/>
              <w:szCs w:val="32"/>
              <w:highlight w:val="none"/>
            </w:rPr>
            <w:t xml:space="preserve"> </w:t>
          </w:r>
          <w:r>
            <w:rPr>
              <w:rFonts w:hint="eastAsia"/>
              <w:color w:val="auto"/>
              <w:szCs w:val="32"/>
              <w:highlight w:val="none"/>
              <w:lang w:val="en-US" w:eastAsia="zh-CN"/>
            </w:rPr>
            <w:t xml:space="preserve"> </w:t>
          </w:r>
          <w:r>
            <w:rPr>
              <w:rFonts w:hint="eastAsia"/>
              <w:color w:val="auto"/>
              <w:szCs w:val="32"/>
              <w:highlight w:val="none"/>
            </w:rPr>
            <w:t>设计概算</w:t>
          </w:r>
          <w:r>
            <w:rPr>
              <w:color w:val="auto"/>
            </w:rPr>
            <w:tab/>
          </w:r>
          <w:r>
            <w:rPr>
              <w:color w:val="auto"/>
            </w:rPr>
            <w:fldChar w:fldCharType="begin"/>
          </w:r>
          <w:r>
            <w:rPr>
              <w:color w:val="auto"/>
            </w:rPr>
            <w:instrText xml:space="preserve"> PAGEREF _Toc22499 </w:instrText>
          </w:r>
          <w:r>
            <w:rPr>
              <w:color w:val="auto"/>
            </w:rPr>
            <w:fldChar w:fldCharType="separate"/>
          </w:r>
          <w:r>
            <w:rPr>
              <w:color w:val="auto"/>
            </w:rPr>
            <w:t>117</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_Toc4842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14</w:t>
          </w:r>
          <w:r>
            <w:rPr>
              <w:rFonts w:hint="eastAsia"/>
              <w:color w:val="auto"/>
              <w:highlight w:val="none"/>
            </w:rPr>
            <w:t>.</w:t>
          </w:r>
          <w:r>
            <w:rPr>
              <w:rFonts w:hint="eastAsia"/>
              <w:color w:val="auto"/>
              <w:highlight w:val="none"/>
              <w:lang w:val="en-US" w:eastAsia="zh-CN"/>
            </w:rPr>
            <w:t xml:space="preserve">1 </w:t>
          </w:r>
          <w:r>
            <w:rPr>
              <w:rFonts w:hint="eastAsia"/>
              <w:color w:val="auto"/>
              <w:highlight w:val="none"/>
            </w:rPr>
            <w:t>编制依据</w:t>
          </w:r>
          <w:r>
            <w:rPr>
              <w:color w:val="auto"/>
            </w:rPr>
            <w:tab/>
          </w:r>
          <w:r>
            <w:rPr>
              <w:color w:val="auto"/>
            </w:rPr>
            <w:fldChar w:fldCharType="begin"/>
          </w:r>
          <w:r>
            <w:rPr>
              <w:color w:val="auto"/>
            </w:rPr>
            <w:instrText xml:space="preserve"> PAGEREF _Toc4842 </w:instrText>
          </w:r>
          <w:r>
            <w:rPr>
              <w:color w:val="auto"/>
            </w:rPr>
            <w:fldChar w:fldCharType="separate"/>
          </w:r>
          <w:r>
            <w:rPr>
              <w:color w:val="auto"/>
            </w:rPr>
            <w:t>117</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_Toc24130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14.2 基础单价</w:t>
          </w:r>
          <w:r>
            <w:rPr>
              <w:color w:val="auto"/>
            </w:rPr>
            <w:tab/>
          </w:r>
          <w:r>
            <w:rPr>
              <w:color w:val="auto"/>
            </w:rPr>
            <w:fldChar w:fldCharType="begin"/>
          </w:r>
          <w:r>
            <w:rPr>
              <w:color w:val="auto"/>
            </w:rPr>
            <w:instrText xml:space="preserve"> PAGEREF _Toc24130 </w:instrText>
          </w:r>
          <w:r>
            <w:rPr>
              <w:color w:val="auto"/>
            </w:rPr>
            <w:fldChar w:fldCharType="separate"/>
          </w:r>
          <w:r>
            <w:rPr>
              <w:color w:val="auto"/>
            </w:rPr>
            <w:t>117</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_Toc4709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14.3 主要工程量及主要材料用量</w:t>
          </w:r>
          <w:r>
            <w:rPr>
              <w:color w:val="auto"/>
            </w:rPr>
            <w:tab/>
          </w:r>
          <w:r>
            <w:rPr>
              <w:color w:val="auto"/>
            </w:rPr>
            <w:fldChar w:fldCharType="begin"/>
          </w:r>
          <w:r>
            <w:rPr>
              <w:color w:val="auto"/>
            </w:rPr>
            <w:instrText xml:space="preserve"> PAGEREF _Toc4709 </w:instrText>
          </w:r>
          <w:r>
            <w:rPr>
              <w:color w:val="auto"/>
            </w:rPr>
            <w:fldChar w:fldCharType="separate"/>
          </w:r>
          <w:r>
            <w:rPr>
              <w:color w:val="auto"/>
            </w:rPr>
            <w:t>117</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_Toc20778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14.4 工程投资概算</w:t>
          </w:r>
          <w:r>
            <w:rPr>
              <w:color w:val="auto"/>
            </w:rPr>
            <w:tab/>
          </w:r>
          <w:r>
            <w:rPr>
              <w:color w:val="auto"/>
            </w:rPr>
            <w:fldChar w:fldCharType="begin"/>
          </w:r>
          <w:r>
            <w:rPr>
              <w:color w:val="auto"/>
            </w:rPr>
            <w:instrText xml:space="preserve"> PAGEREF _Toc20778 </w:instrText>
          </w:r>
          <w:r>
            <w:rPr>
              <w:color w:val="auto"/>
            </w:rPr>
            <w:fldChar w:fldCharType="separate"/>
          </w:r>
          <w:r>
            <w:rPr>
              <w:color w:val="auto"/>
            </w:rPr>
            <w:t>117</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2"/>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_Toc27203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szCs w:val="32"/>
              <w:highlight w:val="none"/>
              <w:lang w:val="en-US" w:eastAsia="zh-CN"/>
            </w:rPr>
            <w:t>15</w:t>
          </w:r>
          <w:r>
            <w:rPr>
              <w:rFonts w:hint="eastAsia"/>
              <w:color w:val="auto"/>
              <w:szCs w:val="32"/>
              <w:highlight w:val="none"/>
            </w:rPr>
            <w:t xml:space="preserve">  经济评价</w:t>
          </w:r>
          <w:r>
            <w:rPr>
              <w:color w:val="auto"/>
            </w:rPr>
            <w:tab/>
          </w:r>
          <w:r>
            <w:rPr>
              <w:color w:val="auto"/>
            </w:rPr>
            <w:fldChar w:fldCharType="begin"/>
          </w:r>
          <w:r>
            <w:rPr>
              <w:color w:val="auto"/>
            </w:rPr>
            <w:instrText xml:space="preserve"> PAGEREF _Toc27203 </w:instrText>
          </w:r>
          <w:r>
            <w:rPr>
              <w:color w:val="auto"/>
            </w:rPr>
            <w:fldChar w:fldCharType="separate"/>
          </w:r>
          <w:r>
            <w:rPr>
              <w:color w:val="auto"/>
            </w:rPr>
            <w:t>119</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_Toc10732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15</w:t>
          </w:r>
          <w:r>
            <w:rPr>
              <w:rFonts w:hint="eastAsia"/>
              <w:color w:val="auto"/>
              <w:highlight w:val="none"/>
            </w:rPr>
            <w:t>.1 工程概况</w:t>
          </w:r>
          <w:r>
            <w:rPr>
              <w:color w:val="auto"/>
            </w:rPr>
            <w:tab/>
          </w:r>
          <w:r>
            <w:rPr>
              <w:color w:val="auto"/>
            </w:rPr>
            <w:fldChar w:fldCharType="begin"/>
          </w:r>
          <w:r>
            <w:rPr>
              <w:color w:val="auto"/>
            </w:rPr>
            <w:instrText xml:space="preserve"> PAGEREF _Toc10732 </w:instrText>
          </w:r>
          <w:r>
            <w:rPr>
              <w:color w:val="auto"/>
            </w:rPr>
            <w:fldChar w:fldCharType="separate"/>
          </w:r>
          <w:r>
            <w:rPr>
              <w:color w:val="auto"/>
            </w:rPr>
            <w:t>119</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_Toc26753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15</w:t>
          </w:r>
          <w:r>
            <w:rPr>
              <w:color w:val="auto"/>
              <w:highlight w:val="none"/>
            </w:rPr>
            <w:t xml:space="preserve">.2 </w:t>
          </w:r>
          <w:r>
            <w:rPr>
              <w:rFonts w:hint="eastAsia"/>
              <w:color w:val="auto"/>
              <w:highlight w:val="none"/>
            </w:rPr>
            <w:t>评价依据及计算参数</w:t>
          </w:r>
          <w:r>
            <w:rPr>
              <w:color w:val="auto"/>
            </w:rPr>
            <w:tab/>
          </w:r>
          <w:r>
            <w:rPr>
              <w:color w:val="auto"/>
            </w:rPr>
            <w:fldChar w:fldCharType="begin"/>
          </w:r>
          <w:r>
            <w:rPr>
              <w:color w:val="auto"/>
            </w:rPr>
            <w:instrText xml:space="preserve"> PAGEREF _Toc26753 </w:instrText>
          </w:r>
          <w:r>
            <w:rPr>
              <w:color w:val="auto"/>
            </w:rPr>
            <w:fldChar w:fldCharType="separate"/>
          </w:r>
          <w:r>
            <w:rPr>
              <w:color w:val="auto"/>
            </w:rPr>
            <w:t>119</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_Toc6334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15</w:t>
          </w:r>
          <w:r>
            <w:rPr>
              <w:color w:val="auto"/>
              <w:highlight w:val="none"/>
            </w:rPr>
            <w:t>.3</w:t>
          </w:r>
          <w:r>
            <w:rPr>
              <w:rFonts w:hint="eastAsia"/>
              <w:color w:val="auto"/>
              <w:highlight w:val="none"/>
              <w:lang w:val="en-US" w:eastAsia="zh-CN"/>
            </w:rPr>
            <w:t xml:space="preserve"> </w:t>
          </w:r>
          <w:r>
            <w:rPr>
              <w:rFonts w:hint="eastAsia"/>
              <w:color w:val="auto"/>
              <w:highlight w:val="none"/>
            </w:rPr>
            <w:t>国民经济评价</w:t>
          </w:r>
          <w:r>
            <w:rPr>
              <w:color w:val="auto"/>
            </w:rPr>
            <w:tab/>
          </w:r>
          <w:r>
            <w:rPr>
              <w:color w:val="auto"/>
            </w:rPr>
            <w:fldChar w:fldCharType="begin"/>
          </w:r>
          <w:r>
            <w:rPr>
              <w:color w:val="auto"/>
            </w:rPr>
            <w:instrText xml:space="preserve"> PAGEREF _Toc6334 </w:instrText>
          </w:r>
          <w:r>
            <w:rPr>
              <w:color w:val="auto"/>
            </w:rPr>
            <w:fldChar w:fldCharType="separate"/>
          </w:r>
          <w:r>
            <w:rPr>
              <w:color w:val="auto"/>
            </w:rPr>
            <w:t>119</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_Toc22020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15</w:t>
          </w:r>
          <w:r>
            <w:rPr>
              <w:rFonts w:hint="eastAsia"/>
              <w:color w:val="auto"/>
              <w:highlight w:val="none"/>
            </w:rPr>
            <w:t>.</w:t>
          </w:r>
          <w:r>
            <w:rPr>
              <w:color w:val="auto"/>
              <w:highlight w:val="none"/>
            </w:rPr>
            <w:t>4</w:t>
          </w:r>
          <w:r>
            <w:rPr>
              <w:rFonts w:hint="eastAsia"/>
              <w:color w:val="auto"/>
              <w:highlight w:val="none"/>
            </w:rPr>
            <w:t xml:space="preserve"> 综合评价</w:t>
          </w:r>
          <w:r>
            <w:rPr>
              <w:color w:val="auto"/>
            </w:rPr>
            <w:tab/>
          </w:r>
          <w:r>
            <w:rPr>
              <w:color w:val="auto"/>
            </w:rPr>
            <w:fldChar w:fldCharType="begin"/>
          </w:r>
          <w:r>
            <w:rPr>
              <w:color w:val="auto"/>
            </w:rPr>
            <w:instrText xml:space="preserve"> PAGEREF _Toc22020 </w:instrText>
          </w:r>
          <w:r>
            <w:rPr>
              <w:color w:val="auto"/>
            </w:rPr>
            <w:fldChar w:fldCharType="separate"/>
          </w:r>
          <w:r>
            <w:rPr>
              <w:color w:val="auto"/>
            </w:rPr>
            <w:t>122</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2"/>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_Toc15980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szCs w:val="32"/>
              <w:highlight w:val="none"/>
              <w:lang w:val="en-US" w:eastAsia="zh-CN"/>
            </w:rPr>
            <w:t>16</w:t>
          </w:r>
          <w:r>
            <w:rPr>
              <w:rFonts w:hint="eastAsia"/>
              <w:color w:val="auto"/>
              <w:szCs w:val="32"/>
              <w:highlight w:val="none"/>
            </w:rPr>
            <w:t xml:space="preserve">  海绵城市建设</w:t>
          </w:r>
          <w:r>
            <w:rPr>
              <w:color w:val="auto"/>
            </w:rPr>
            <w:tab/>
          </w:r>
          <w:r>
            <w:rPr>
              <w:color w:val="auto"/>
            </w:rPr>
            <w:fldChar w:fldCharType="begin"/>
          </w:r>
          <w:r>
            <w:rPr>
              <w:color w:val="auto"/>
            </w:rPr>
            <w:instrText xml:space="preserve"> PAGEREF _Toc15980 </w:instrText>
          </w:r>
          <w:r>
            <w:rPr>
              <w:color w:val="auto"/>
            </w:rPr>
            <w:fldChar w:fldCharType="separate"/>
          </w:r>
          <w:r>
            <w:rPr>
              <w:color w:val="auto"/>
            </w:rPr>
            <w:t>124</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_Toc17913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16</w:t>
          </w:r>
          <w:r>
            <w:rPr>
              <w:rFonts w:hint="eastAsia"/>
              <w:color w:val="auto"/>
              <w:highlight w:val="none"/>
            </w:rPr>
            <w:t xml:space="preserve">.1 </w:t>
          </w:r>
          <w:r>
            <w:rPr>
              <w:color w:val="auto"/>
              <w:highlight w:val="none"/>
            </w:rPr>
            <w:t>海绵城市概念</w:t>
          </w:r>
          <w:r>
            <w:rPr>
              <w:color w:val="auto"/>
            </w:rPr>
            <w:tab/>
          </w:r>
          <w:r>
            <w:rPr>
              <w:color w:val="auto"/>
            </w:rPr>
            <w:fldChar w:fldCharType="begin"/>
          </w:r>
          <w:r>
            <w:rPr>
              <w:color w:val="auto"/>
            </w:rPr>
            <w:instrText xml:space="preserve"> PAGEREF _Toc17913 </w:instrText>
          </w:r>
          <w:r>
            <w:rPr>
              <w:color w:val="auto"/>
            </w:rPr>
            <w:fldChar w:fldCharType="separate"/>
          </w:r>
          <w:r>
            <w:rPr>
              <w:color w:val="auto"/>
            </w:rPr>
            <w:t>124</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_Toc18614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16</w:t>
          </w:r>
          <w:r>
            <w:rPr>
              <w:rFonts w:hint="eastAsia"/>
              <w:color w:val="auto"/>
              <w:highlight w:val="none"/>
            </w:rPr>
            <w:t xml:space="preserve">.2 </w:t>
          </w:r>
          <w:r>
            <w:rPr>
              <w:color w:val="auto"/>
              <w:highlight w:val="none"/>
            </w:rPr>
            <w:t>海绵城市建设原则</w:t>
          </w:r>
          <w:r>
            <w:rPr>
              <w:color w:val="auto"/>
            </w:rPr>
            <w:tab/>
          </w:r>
          <w:r>
            <w:rPr>
              <w:color w:val="auto"/>
            </w:rPr>
            <w:fldChar w:fldCharType="begin"/>
          </w:r>
          <w:r>
            <w:rPr>
              <w:color w:val="auto"/>
            </w:rPr>
            <w:instrText xml:space="preserve"> PAGEREF _Toc18614 </w:instrText>
          </w:r>
          <w:r>
            <w:rPr>
              <w:color w:val="auto"/>
            </w:rPr>
            <w:fldChar w:fldCharType="separate"/>
          </w:r>
          <w:r>
            <w:rPr>
              <w:color w:val="auto"/>
            </w:rPr>
            <w:t>124</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_Toc8508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16</w:t>
          </w:r>
          <w:r>
            <w:rPr>
              <w:rFonts w:hint="eastAsia"/>
              <w:color w:val="auto"/>
              <w:highlight w:val="none"/>
            </w:rPr>
            <w:t xml:space="preserve">.3 </w:t>
          </w:r>
          <w:r>
            <w:rPr>
              <w:color w:val="auto"/>
              <w:highlight w:val="none"/>
            </w:rPr>
            <w:t>海绵城市—低影响开发雨水系统</w:t>
          </w:r>
          <w:r>
            <w:rPr>
              <w:color w:val="auto"/>
            </w:rPr>
            <w:tab/>
          </w:r>
          <w:r>
            <w:rPr>
              <w:color w:val="auto"/>
            </w:rPr>
            <w:fldChar w:fldCharType="begin"/>
          </w:r>
          <w:r>
            <w:rPr>
              <w:color w:val="auto"/>
            </w:rPr>
            <w:instrText xml:space="preserve"> PAGEREF _Toc8508 </w:instrText>
          </w:r>
          <w:r>
            <w:rPr>
              <w:color w:val="auto"/>
            </w:rPr>
            <w:fldChar w:fldCharType="separate"/>
          </w:r>
          <w:r>
            <w:rPr>
              <w:color w:val="auto"/>
            </w:rPr>
            <w:t>125</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_Toc11942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olor w:val="auto"/>
              <w:highlight w:val="none"/>
              <w:lang w:val="en-US" w:eastAsia="zh-CN"/>
            </w:rPr>
            <w:t>16</w:t>
          </w:r>
          <w:r>
            <w:rPr>
              <w:rFonts w:hint="eastAsia"/>
              <w:color w:val="auto"/>
              <w:highlight w:val="none"/>
            </w:rPr>
            <w:t>.4 工程措施适宜性</w:t>
          </w:r>
          <w:r>
            <w:rPr>
              <w:color w:val="auto"/>
            </w:rPr>
            <w:tab/>
          </w:r>
          <w:r>
            <w:rPr>
              <w:color w:val="auto"/>
            </w:rPr>
            <w:fldChar w:fldCharType="begin"/>
          </w:r>
          <w:r>
            <w:rPr>
              <w:color w:val="auto"/>
            </w:rPr>
            <w:instrText xml:space="preserve"> PAGEREF _Toc11942 </w:instrText>
          </w:r>
          <w:r>
            <w:rPr>
              <w:color w:val="auto"/>
            </w:rPr>
            <w:fldChar w:fldCharType="separate"/>
          </w:r>
          <w:r>
            <w:rPr>
              <w:color w:val="auto"/>
            </w:rPr>
            <w:t>126</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2"/>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_Toc21992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s="Times New Roman"/>
              <w:color w:val="auto"/>
              <w:szCs w:val="32"/>
              <w:highlight w:val="none"/>
              <w:lang w:val="en-US" w:eastAsia="zh-CN"/>
            </w:rPr>
            <w:t>17</w:t>
          </w:r>
          <w:r>
            <w:rPr>
              <w:rFonts w:hint="eastAsia" w:ascii="Times New Roman" w:hAnsi="Times New Roman" w:eastAsia="黑体" w:cs="Times New Roman"/>
              <w:color w:val="auto"/>
              <w:szCs w:val="32"/>
              <w:highlight w:val="none"/>
              <w:lang w:val="en-US" w:eastAsia="zh-CN"/>
            </w:rPr>
            <w:t xml:space="preserve"> 树木保护</w:t>
          </w:r>
          <w:r>
            <w:rPr>
              <w:color w:val="auto"/>
            </w:rPr>
            <w:tab/>
          </w:r>
          <w:r>
            <w:rPr>
              <w:color w:val="auto"/>
            </w:rPr>
            <w:fldChar w:fldCharType="begin"/>
          </w:r>
          <w:r>
            <w:rPr>
              <w:color w:val="auto"/>
            </w:rPr>
            <w:instrText xml:space="preserve"> PAGEREF _Toc21992 </w:instrText>
          </w:r>
          <w:r>
            <w:rPr>
              <w:color w:val="auto"/>
            </w:rPr>
            <w:fldChar w:fldCharType="separate"/>
          </w:r>
          <w:r>
            <w:rPr>
              <w:color w:val="auto"/>
            </w:rPr>
            <w:t>127</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_Toc29775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s="Times New Roman"/>
              <w:color w:val="auto"/>
              <w:szCs w:val="28"/>
              <w:highlight w:val="none"/>
              <w:lang w:val="en-US" w:eastAsia="zh-CN"/>
            </w:rPr>
            <w:t>17</w:t>
          </w:r>
          <w:r>
            <w:rPr>
              <w:rFonts w:hint="eastAsia" w:ascii="Times New Roman" w:hAnsi="Times New Roman" w:eastAsia="黑体" w:cs="Times New Roman"/>
              <w:color w:val="auto"/>
              <w:szCs w:val="28"/>
              <w:highlight w:val="none"/>
              <w:lang w:val="en-US" w:eastAsia="zh-CN"/>
            </w:rPr>
            <w:t>.1 编制依据及原则</w:t>
          </w:r>
          <w:r>
            <w:rPr>
              <w:color w:val="auto"/>
            </w:rPr>
            <w:tab/>
          </w:r>
          <w:r>
            <w:rPr>
              <w:color w:val="auto"/>
            </w:rPr>
            <w:fldChar w:fldCharType="begin"/>
          </w:r>
          <w:r>
            <w:rPr>
              <w:color w:val="auto"/>
            </w:rPr>
            <w:instrText xml:space="preserve"> PAGEREF _Toc29775 </w:instrText>
          </w:r>
          <w:r>
            <w:rPr>
              <w:color w:val="auto"/>
            </w:rPr>
            <w:fldChar w:fldCharType="separate"/>
          </w:r>
          <w:r>
            <w:rPr>
              <w:color w:val="auto"/>
            </w:rPr>
            <w:t>127</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_Toc5252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s="Times New Roman"/>
              <w:color w:val="auto"/>
              <w:szCs w:val="28"/>
              <w:highlight w:val="none"/>
              <w:lang w:val="en-US" w:eastAsia="zh-CN"/>
            </w:rPr>
            <w:t>17</w:t>
          </w:r>
          <w:r>
            <w:rPr>
              <w:rFonts w:hint="eastAsia" w:ascii="Times New Roman" w:hAnsi="Times New Roman" w:eastAsia="黑体" w:cs="Times New Roman"/>
              <w:color w:val="auto"/>
              <w:szCs w:val="28"/>
              <w:highlight w:val="none"/>
              <w:lang w:val="en-US" w:eastAsia="zh-CN"/>
            </w:rPr>
            <w:t>.2 树木资源现状情况及涉树原因</w:t>
          </w:r>
          <w:r>
            <w:rPr>
              <w:color w:val="auto"/>
            </w:rPr>
            <w:tab/>
          </w:r>
          <w:r>
            <w:rPr>
              <w:color w:val="auto"/>
            </w:rPr>
            <w:fldChar w:fldCharType="begin"/>
          </w:r>
          <w:r>
            <w:rPr>
              <w:color w:val="auto"/>
            </w:rPr>
            <w:instrText xml:space="preserve"> PAGEREF _Toc5252 </w:instrText>
          </w:r>
          <w:r>
            <w:rPr>
              <w:color w:val="auto"/>
            </w:rPr>
            <w:fldChar w:fldCharType="separate"/>
          </w:r>
          <w:r>
            <w:rPr>
              <w:color w:val="auto"/>
            </w:rPr>
            <w:t>129</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pStyle w:val="38"/>
            <w:tabs>
              <w:tab w:val="right" w:leader="dot" w:pos="8958"/>
            </w:tabs>
            <w:rPr>
              <w:color w:val="auto"/>
            </w:rPr>
          </w:pPr>
          <w:r>
            <w:rPr>
              <w:rFonts w:ascii="Times New Roman" w:hAnsi="Times New Roman" w:eastAsia="黑体" w:cs="Times New Roman"/>
              <w:bCs/>
              <w:caps/>
              <w:color w:val="auto"/>
              <w:kern w:val="2"/>
              <w:szCs w:val="24"/>
              <w:highlight w:val="none"/>
              <w:lang w:val="en-US" w:eastAsia="zh-CN" w:bidi="ar-SA"/>
            </w:rPr>
            <w:fldChar w:fldCharType="begin"/>
          </w:r>
          <w:r>
            <w:rPr>
              <w:rFonts w:ascii="Times New Roman" w:hAnsi="Times New Roman" w:eastAsia="黑体" w:cs="Times New Roman"/>
              <w:bCs/>
              <w:caps/>
              <w:color w:val="auto"/>
              <w:kern w:val="2"/>
              <w:szCs w:val="24"/>
              <w:highlight w:val="none"/>
              <w:lang w:val="en-US" w:eastAsia="zh-CN" w:bidi="ar-SA"/>
            </w:rPr>
            <w:instrText xml:space="preserve"> HYPERLINK \l _Toc23003 </w:instrText>
          </w:r>
          <w:r>
            <w:rPr>
              <w:rFonts w:ascii="Times New Roman" w:hAnsi="Times New Roman" w:eastAsia="黑体" w:cs="Times New Roman"/>
              <w:bCs/>
              <w:caps/>
              <w:color w:val="auto"/>
              <w:kern w:val="2"/>
              <w:szCs w:val="24"/>
              <w:highlight w:val="none"/>
              <w:lang w:val="en-US" w:eastAsia="zh-CN" w:bidi="ar-SA"/>
            </w:rPr>
            <w:fldChar w:fldCharType="separate"/>
          </w:r>
          <w:r>
            <w:rPr>
              <w:rFonts w:hint="eastAsia" w:cs="Times New Roman"/>
              <w:color w:val="auto"/>
              <w:szCs w:val="28"/>
              <w:highlight w:val="none"/>
              <w:lang w:val="en-US" w:eastAsia="zh-CN"/>
            </w:rPr>
            <w:t>17</w:t>
          </w:r>
          <w:r>
            <w:rPr>
              <w:rFonts w:hint="eastAsia" w:ascii="Times New Roman" w:hAnsi="Times New Roman" w:eastAsia="黑体" w:cs="Times New Roman"/>
              <w:color w:val="auto"/>
              <w:szCs w:val="28"/>
              <w:highlight w:val="none"/>
              <w:lang w:val="en-US" w:eastAsia="zh-CN"/>
            </w:rPr>
            <w:t>.3 树木保护、利用和迁移建议</w:t>
          </w:r>
          <w:r>
            <w:rPr>
              <w:color w:val="auto"/>
            </w:rPr>
            <w:tab/>
          </w:r>
          <w:r>
            <w:rPr>
              <w:color w:val="auto"/>
            </w:rPr>
            <w:fldChar w:fldCharType="begin"/>
          </w:r>
          <w:r>
            <w:rPr>
              <w:color w:val="auto"/>
            </w:rPr>
            <w:instrText xml:space="preserve"> PAGEREF _Toc23003 </w:instrText>
          </w:r>
          <w:r>
            <w:rPr>
              <w:color w:val="auto"/>
            </w:rPr>
            <w:fldChar w:fldCharType="separate"/>
          </w:r>
          <w:r>
            <w:rPr>
              <w:color w:val="auto"/>
            </w:rPr>
            <w:t>129</w:t>
          </w:r>
          <w:r>
            <w:rPr>
              <w:color w:val="auto"/>
            </w:rPr>
            <w:fldChar w:fldCharType="end"/>
          </w:r>
          <w:r>
            <w:rPr>
              <w:rFonts w:ascii="Times New Roman" w:hAnsi="Times New Roman" w:eastAsia="黑体" w:cs="Times New Roman"/>
              <w:bCs/>
              <w:caps/>
              <w:color w:val="auto"/>
              <w:kern w:val="2"/>
              <w:szCs w:val="24"/>
              <w:highlight w:val="none"/>
              <w:lang w:val="en-US" w:eastAsia="zh-CN" w:bidi="ar-SA"/>
            </w:rPr>
            <w:fldChar w:fldCharType="end"/>
          </w:r>
        </w:p>
        <w:p>
          <w:pPr>
            <w:ind w:firstLine="480"/>
            <w:rPr>
              <w:color w:val="auto"/>
              <w:highlight w:val="none"/>
            </w:rPr>
          </w:pPr>
          <w:r>
            <w:rPr>
              <w:rFonts w:ascii="Times New Roman" w:hAnsi="Times New Roman" w:eastAsia="黑体" w:cs="Times New Roman"/>
              <w:bCs/>
              <w:caps/>
              <w:color w:val="auto"/>
              <w:kern w:val="2"/>
              <w:szCs w:val="24"/>
              <w:highlight w:val="none"/>
              <w:lang w:val="en-US" w:eastAsia="zh-CN" w:bidi="ar-SA"/>
            </w:rPr>
            <w:fldChar w:fldCharType="end"/>
          </w:r>
        </w:p>
        <w:p>
          <w:pPr>
            <w:ind w:firstLine="480"/>
            <w:rPr>
              <w:color w:val="auto"/>
              <w:highlight w:val="none"/>
            </w:rPr>
          </w:pPr>
        </w:p>
      </w:sdtContent>
    </w:sdt>
    <w:p>
      <w:pPr>
        <w:pStyle w:val="2"/>
        <w:keepNext w:val="0"/>
        <w:keepLines w:val="0"/>
        <w:pageBreakBefore/>
        <w:spacing w:beforeLines="50" w:afterLines="50" w:line="360" w:lineRule="auto"/>
        <w:rPr>
          <w:b/>
          <w:color w:val="auto"/>
          <w:szCs w:val="32"/>
          <w:highlight w:val="none"/>
        </w:rPr>
        <w:sectPr>
          <w:footerReference r:id="rId5" w:type="default"/>
          <w:pgSz w:w="11906" w:h="16838"/>
          <w:pgMar w:top="1440" w:right="1247" w:bottom="1440" w:left="1701" w:header="851" w:footer="992" w:gutter="0"/>
          <w:pgBorders>
            <w:top w:val="none" w:sz="0" w:space="0"/>
            <w:left w:val="none" w:sz="0" w:space="0"/>
            <w:bottom w:val="none" w:sz="0" w:space="0"/>
            <w:right w:val="none" w:sz="0" w:space="0"/>
          </w:pgBorders>
          <w:pgNumType w:fmt="decimal" w:start="1"/>
          <w:cols w:space="425" w:num="1"/>
          <w:docGrid w:linePitch="312" w:charSpace="0"/>
        </w:sectPr>
      </w:pPr>
    </w:p>
    <w:p>
      <w:pPr>
        <w:pStyle w:val="2"/>
        <w:rPr>
          <w:color w:val="auto"/>
          <w:highlight w:val="none"/>
        </w:rPr>
      </w:pPr>
      <w:bookmarkStart w:id="5" w:name="_Toc23393"/>
      <w:r>
        <w:rPr>
          <w:rFonts w:hint="eastAsia"/>
          <w:color w:val="auto"/>
          <w:highlight w:val="none"/>
        </w:rPr>
        <w:t xml:space="preserve">1 </w:t>
      </w:r>
      <w:r>
        <w:rPr>
          <w:rFonts w:hint="eastAsia"/>
          <w:color w:val="auto"/>
          <w:highlight w:val="none"/>
          <w:lang w:val="en-US" w:eastAsia="zh-CN"/>
        </w:rPr>
        <w:t xml:space="preserve"> </w:t>
      </w:r>
      <w:r>
        <w:rPr>
          <w:rFonts w:hint="eastAsia"/>
          <w:color w:val="auto"/>
          <w:highlight w:val="none"/>
        </w:rPr>
        <w:t>综合说明</w:t>
      </w:r>
      <w:bookmarkEnd w:id="0"/>
      <w:bookmarkEnd w:id="4"/>
      <w:bookmarkEnd w:id="5"/>
    </w:p>
    <w:p>
      <w:pPr>
        <w:pStyle w:val="3"/>
        <w:rPr>
          <w:color w:val="auto"/>
          <w:highlight w:val="none"/>
        </w:rPr>
      </w:pPr>
      <w:bookmarkStart w:id="6" w:name="_Toc328618564"/>
      <w:bookmarkStart w:id="7" w:name="_Toc320003171"/>
      <w:bookmarkStart w:id="8" w:name="_Toc145304794"/>
      <w:bookmarkStart w:id="9" w:name="_Toc320004128"/>
      <w:bookmarkStart w:id="10" w:name="_Toc322093198"/>
      <w:bookmarkStart w:id="11" w:name="_Toc307580323"/>
      <w:bookmarkStart w:id="12" w:name="_Toc323046792"/>
      <w:bookmarkStart w:id="13" w:name="_Toc319939665"/>
      <w:bookmarkStart w:id="14" w:name="_Toc322358278"/>
      <w:bookmarkStart w:id="15" w:name="_Toc320003311"/>
      <w:bookmarkStart w:id="16" w:name="_Toc320003424"/>
      <w:bookmarkStart w:id="17" w:name="_Toc320002802"/>
      <w:bookmarkStart w:id="18" w:name="_Toc171238820"/>
      <w:bookmarkStart w:id="19" w:name="_Toc292445750"/>
      <w:bookmarkStart w:id="20" w:name="_Toc536295008"/>
      <w:bookmarkStart w:id="21" w:name="_Toc404766530"/>
      <w:bookmarkStart w:id="22" w:name="_Toc17902"/>
      <w:r>
        <w:rPr>
          <w:rFonts w:hint="eastAsia"/>
          <w:color w:val="auto"/>
          <w:highlight w:val="none"/>
        </w:rPr>
        <w:t>1.1</w:t>
      </w:r>
      <w:bookmarkEnd w:id="6"/>
      <w:bookmarkEnd w:id="7"/>
      <w:bookmarkEnd w:id="8"/>
      <w:bookmarkEnd w:id="9"/>
      <w:bookmarkEnd w:id="10"/>
      <w:bookmarkEnd w:id="11"/>
      <w:bookmarkEnd w:id="12"/>
      <w:bookmarkEnd w:id="13"/>
      <w:bookmarkEnd w:id="14"/>
      <w:bookmarkEnd w:id="15"/>
      <w:bookmarkEnd w:id="16"/>
      <w:bookmarkEnd w:id="17"/>
      <w:bookmarkEnd w:id="18"/>
      <w:bookmarkEnd w:id="19"/>
      <w:r>
        <w:rPr>
          <w:rFonts w:hint="eastAsia"/>
          <w:color w:val="auto"/>
          <w:highlight w:val="none"/>
        </w:rPr>
        <w:t xml:space="preserve"> 概况</w:t>
      </w:r>
      <w:bookmarkEnd w:id="20"/>
      <w:bookmarkEnd w:id="21"/>
      <w:bookmarkEnd w:id="22"/>
    </w:p>
    <w:p>
      <w:pPr>
        <w:ind w:firstLine="482"/>
        <w:rPr>
          <w:b w:val="0"/>
          <w:bCs/>
          <w:color w:val="auto"/>
          <w:highlight w:val="none"/>
        </w:rPr>
      </w:pPr>
      <w:r>
        <w:rPr>
          <w:rFonts w:hint="eastAsia"/>
          <w:b w:val="0"/>
          <w:bCs/>
          <w:color w:val="auto"/>
          <w:highlight w:val="none"/>
        </w:rPr>
        <w:t>（1）项目名称：从化区温泉镇南大水库灌区（</w:t>
      </w:r>
      <w:r>
        <w:rPr>
          <w:rFonts w:hint="eastAsia"/>
          <w:b w:val="0"/>
          <w:bCs/>
          <w:color w:val="auto"/>
          <w:highlight w:val="none"/>
          <w:lang w:eastAsia="zh-CN"/>
        </w:rPr>
        <w:t>桃莲段</w:t>
      </w:r>
      <w:r>
        <w:rPr>
          <w:rFonts w:hint="eastAsia"/>
          <w:b w:val="0"/>
          <w:bCs/>
          <w:color w:val="auto"/>
          <w:highlight w:val="none"/>
        </w:rPr>
        <w:t>）改造工程</w:t>
      </w:r>
    </w:p>
    <w:p>
      <w:pPr>
        <w:ind w:firstLine="482"/>
        <w:rPr>
          <w:rFonts w:hint="eastAsia"/>
          <w:b w:val="0"/>
          <w:bCs/>
          <w:color w:val="auto"/>
          <w:highlight w:val="none"/>
          <w:lang w:val="en-US" w:eastAsia="zh-CN"/>
        </w:rPr>
      </w:pPr>
      <w:r>
        <w:rPr>
          <w:rFonts w:hint="eastAsia"/>
          <w:b w:val="0"/>
          <w:bCs/>
          <w:color w:val="auto"/>
          <w:highlight w:val="none"/>
        </w:rPr>
        <w:t>（2）立项依据：</w:t>
      </w:r>
      <w:r>
        <w:rPr>
          <w:rFonts w:hint="eastAsia"/>
          <w:b w:val="0"/>
          <w:bCs/>
          <w:color w:val="auto"/>
          <w:highlight w:val="none"/>
          <w:lang w:eastAsia="zh-CN"/>
        </w:rPr>
        <w:t>本工程</w:t>
      </w:r>
      <w:r>
        <w:rPr>
          <w:rFonts w:hint="eastAsia" w:ascii="宋体" w:hAnsi="宋体" w:eastAsia="宋体" w:cs="宋体"/>
          <w:color w:val="auto"/>
          <w:sz w:val="24"/>
          <w:szCs w:val="24"/>
          <w:highlight w:val="none"/>
          <w:lang w:val="en-US" w:eastAsia="zh-CN"/>
        </w:rPr>
        <w:t>于2023年5月6日完成项目立项工作，批复文号为“穗从发改投[2023]14号”，详见本报告附件</w:t>
      </w:r>
      <w:r>
        <w:rPr>
          <w:rFonts w:hint="eastAsia"/>
          <w:b w:val="0"/>
          <w:bCs/>
          <w:color w:val="auto"/>
          <w:highlight w:val="none"/>
          <w:lang w:val="en-US" w:eastAsia="zh-CN"/>
        </w:rPr>
        <w:t>。</w:t>
      </w:r>
    </w:p>
    <w:p>
      <w:pPr>
        <w:ind w:firstLine="482"/>
        <w:rPr>
          <w:b w:val="0"/>
          <w:bCs/>
          <w:color w:val="auto"/>
          <w:highlight w:val="none"/>
        </w:rPr>
      </w:pPr>
      <w:r>
        <w:rPr>
          <w:rFonts w:hint="eastAsia"/>
          <w:b w:val="0"/>
          <w:bCs/>
          <w:color w:val="auto"/>
          <w:highlight w:val="none"/>
        </w:rPr>
        <w:t>（3）项目位置：广州市从化区</w:t>
      </w:r>
    </w:p>
    <w:p>
      <w:pPr>
        <w:ind w:firstLine="482"/>
        <w:rPr>
          <w:rFonts w:hint="eastAsia"/>
          <w:b w:val="0"/>
          <w:bCs/>
          <w:color w:val="auto"/>
          <w:highlight w:val="none"/>
          <w:lang w:eastAsia="zh-CN"/>
        </w:rPr>
      </w:pPr>
      <w:r>
        <w:rPr>
          <w:rFonts w:hint="eastAsia"/>
          <w:b w:val="0"/>
          <w:bCs/>
          <w:color w:val="auto"/>
          <w:highlight w:val="none"/>
        </w:rPr>
        <w:t>（4）工程范围：</w:t>
      </w:r>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渠道进行三面光改造，改造起点位于温泉镇桃莲村委后（桩号0+000），距离干渠渠首约5.5km，终点位于从莞深高速公路穿路箱涵进水口（桩号1+207），改造总长1207m。</w:t>
      </w:r>
    </w:p>
    <w:p>
      <w:pPr>
        <w:ind w:firstLine="482"/>
        <w:rPr>
          <w:b w:val="0"/>
          <w:bCs/>
          <w:color w:val="auto"/>
          <w:highlight w:val="none"/>
        </w:rPr>
      </w:pPr>
      <w:r>
        <w:rPr>
          <w:rFonts w:hint="eastAsia"/>
          <w:b w:val="0"/>
          <w:bCs/>
          <w:color w:val="auto"/>
          <w:highlight w:val="none"/>
        </w:rPr>
        <w:t>（5）项目建设内容和规模：</w:t>
      </w:r>
    </w:p>
    <w:p>
      <w:pPr>
        <w:ind w:firstLine="480"/>
        <w:rPr>
          <w:rFonts w:hint="eastAsia"/>
          <w:b w:val="0"/>
          <w:bCs/>
          <w:color w:val="auto"/>
          <w:highlight w:val="none"/>
          <w:lang w:val="en-US" w:eastAsia="zh-CN"/>
        </w:rPr>
      </w:pPr>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主要建设内容是对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渠道进行三面光改造，改造总长为</w:t>
      </w:r>
      <w:r>
        <w:rPr>
          <w:rFonts w:hint="eastAsia"/>
          <w:b w:val="0"/>
          <w:bCs/>
          <w:color w:val="auto"/>
          <w:highlight w:val="none"/>
          <w:lang w:val="en-US" w:eastAsia="zh-CN"/>
        </w:rPr>
        <w:t>1207m，主要建筑物包括新建浆砌石渠道1207m，新建泄洪闸1座，拆除重建泄洪闸2座，拆除重建机耕桥2座，拆除重建人行桥5座，新建钢筋砼溢流面板1168m²等。</w:t>
      </w:r>
    </w:p>
    <w:p>
      <w:pPr>
        <w:numPr>
          <w:ilvl w:val="0"/>
          <w:numId w:val="2"/>
        </w:numPr>
        <w:ind w:firstLine="482"/>
        <w:rPr>
          <w:b w:val="0"/>
          <w:bCs/>
          <w:color w:val="auto"/>
          <w:highlight w:val="none"/>
        </w:rPr>
      </w:pPr>
      <w:bookmarkStart w:id="23" w:name="OLE_LINK18"/>
      <w:r>
        <w:rPr>
          <w:rFonts w:hint="eastAsia"/>
          <w:b w:val="0"/>
          <w:bCs/>
          <w:color w:val="auto"/>
          <w:highlight w:val="none"/>
        </w:rPr>
        <w:t>项目</w:t>
      </w:r>
      <w:r>
        <w:rPr>
          <w:rFonts w:hint="eastAsia"/>
          <w:b w:val="0"/>
          <w:bCs/>
          <w:color w:val="auto"/>
          <w:highlight w:val="none"/>
          <w:lang w:eastAsia="zh-CN"/>
        </w:rPr>
        <w:t>概算</w:t>
      </w:r>
      <w:r>
        <w:rPr>
          <w:rFonts w:hint="eastAsia"/>
          <w:b w:val="0"/>
          <w:bCs/>
          <w:color w:val="auto"/>
          <w:highlight w:val="none"/>
        </w:rPr>
        <w:t>投资：</w:t>
      </w:r>
      <w:r>
        <w:rPr>
          <w:b w:val="0"/>
          <w:bCs/>
          <w:color w:val="auto"/>
          <w:highlight w:val="none"/>
        </w:rPr>
        <w:t>工程总投资</w:t>
      </w:r>
      <w:r>
        <w:rPr>
          <w:rFonts w:hint="eastAsia" w:ascii="宋体" w:hAnsi="宋体" w:cs="宋体"/>
          <w:color w:val="auto"/>
          <w:sz w:val="24"/>
          <w:szCs w:val="24"/>
          <w:highlight w:val="none"/>
          <w:lang w:val="en-US" w:eastAsia="zh-CN"/>
        </w:rPr>
        <w:t>835.52万</w:t>
      </w:r>
      <w:r>
        <w:rPr>
          <w:rFonts w:hint="eastAsia" w:ascii="宋体" w:hAnsi="宋体" w:eastAsia="宋体" w:cs="宋体"/>
          <w:color w:val="auto"/>
          <w:sz w:val="24"/>
          <w:szCs w:val="24"/>
          <w:highlight w:val="none"/>
          <w:lang w:eastAsia="zh-CN"/>
        </w:rPr>
        <w:t>元</w:t>
      </w:r>
      <w:r>
        <w:rPr>
          <w:b w:val="0"/>
          <w:bCs/>
          <w:color w:val="auto"/>
          <w:highlight w:val="none"/>
        </w:rPr>
        <w:t>，</w:t>
      </w:r>
      <w:r>
        <w:rPr>
          <w:rFonts w:hint="eastAsia" w:ascii="宋体" w:hAnsi="宋体" w:eastAsia="宋体" w:cs="宋体"/>
          <w:color w:val="auto"/>
          <w:sz w:val="24"/>
          <w:szCs w:val="24"/>
          <w:highlight w:val="none"/>
          <w:lang w:eastAsia="zh-CN"/>
        </w:rPr>
        <w:t>其中建安费</w:t>
      </w:r>
      <w:r>
        <w:rPr>
          <w:rFonts w:hint="eastAsia" w:ascii="宋体" w:hAnsi="宋体" w:cs="宋体"/>
          <w:color w:val="auto"/>
          <w:sz w:val="24"/>
          <w:szCs w:val="24"/>
          <w:highlight w:val="none"/>
          <w:lang w:val="en-US" w:eastAsia="zh-CN"/>
        </w:rPr>
        <w:t>663.45万</w:t>
      </w:r>
      <w:r>
        <w:rPr>
          <w:rFonts w:hint="eastAsia" w:ascii="宋体" w:hAnsi="宋体" w:eastAsia="宋体" w:cs="宋体"/>
          <w:color w:val="auto"/>
          <w:sz w:val="24"/>
          <w:szCs w:val="24"/>
          <w:highlight w:val="none"/>
          <w:lang w:val="en-US" w:eastAsia="zh-CN"/>
        </w:rPr>
        <w:t>元，独立费</w:t>
      </w:r>
      <w:r>
        <w:rPr>
          <w:rFonts w:hint="eastAsia" w:ascii="宋体" w:hAnsi="宋体" w:cs="宋体"/>
          <w:color w:val="auto"/>
          <w:sz w:val="24"/>
          <w:szCs w:val="24"/>
          <w:highlight w:val="none"/>
          <w:lang w:val="en-US" w:eastAsia="zh-CN"/>
        </w:rPr>
        <w:t>99.85万</w:t>
      </w:r>
      <w:r>
        <w:rPr>
          <w:rFonts w:hint="eastAsia" w:ascii="宋体" w:hAnsi="宋体" w:eastAsia="宋体" w:cs="宋体"/>
          <w:color w:val="auto"/>
          <w:sz w:val="24"/>
          <w:szCs w:val="24"/>
          <w:highlight w:val="none"/>
          <w:lang w:val="en-US" w:eastAsia="zh-CN"/>
        </w:rPr>
        <w:t>元，基本预备费</w:t>
      </w:r>
      <w:r>
        <w:rPr>
          <w:rFonts w:hint="eastAsia" w:ascii="宋体" w:hAnsi="宋体" w:cs="宋体"/>
          <w:color w:val="auto"/>
          <w:sz w:val="24"/>
          <w:szCs w:val="24"/>
          <w:highlight w:val="none"/>
          <w:lang w:val="en-US" w:eastAsia="zh-CN"/>
        </w:rPr>
        <w:t>28.25万</w:t>
      </w:r>
      <w:r>
        <w:rPr>
          <w:rFonts w:hint="eastAsia" w:ascii="宋体" w:hAnsi="宋体" w:eastAsia="宋体" w:cs="宋体"/>
          <w:color w:val="auto"/>
          <w:sz w:val="24"/>
          <w:szCs w:val="24"/>
          <w:highlight w:val="none"/>
          <w:lang w:val="en-US" w:eastAsia="zh-CN"/>
        </w:rPr>
        <w:t>元，工程占地补偿费</w:t>
      </w:r>
      <w:r>
        <w:rPr>
          <w:rFonts w:hint="eastAsia" w:ascii="宋体" w:hAnsi="宋体" w:cs="宋体"/>
          <w:color w:val="auto"/>
          <w:sz w:val="24"/>
          <w:szCs w:val="24"/>
          <w:highlight w:val="none"/>
          <w:lang w:val="en-US" w:eastAsia="zh-CN"/>
        </w:rPr>
        <w:t>42.69万</w:t>
      </w:r>
      <w:r>
        <w:rPr>
          <w:rFonts w:hint="eastAsia" w:ascii="宋体" w:hAnsi="宋体" w:eastAsia="宋体" w:cs="宋体"/>
          <w:color w:val="auto"/>
          <w:sz w:val="24"/>
          <w:szCs w:val="24"/>
          <w:highlight w:val="none"/>
          <w:lang w:val="en-US" w:eastAsia="zh-CN"/>
        </w:rPr>
        <w:t>元。</w:t>
      </w:r>
    </w:p>
    <w:p>
      <w:pPr>
        <w:numPr>
          <w:ilvl w:val="0"/>
          <w:numId w:val="3"/>
        </w:numPr>
        <w:ind w:firstLine="482"/>
        <w:rPr>
          <w:rFonts w:hint="eastAsia"/>
          <w:b w:val="0"/>
          <w:bCs/>
          <w:color w:val="auto"/>
          <w:highlight w:val="none"/>
        </w:rPr>
      </w:pPr>
      <w:r>
        <w:rPr>
          <w:rFonts w:hint="eastAsia"/>
          <w:b w:val="0"/>
          <w:bCs/>
          <w:color w:val="auto"/>
          <w:highlight w:val="none"/>
        </w:rPr>
        <w:t>资金来源：本工程</w:t>
      </w:r>
      <w:r>
        <w:rPr>
          <w:rFonts w:hint="eastAsia"/>
          <w:b w:val="0"/>
          <w:bCs/>
          <w:color w:val="auto"/>
          <w:highlight w:val="none"/>
          <w:lang w:eastAsia="zh-CN"/>
        </w:rPr>
        <w:t>概</w:t>
      </w:r>
      <w:r>
        <w:rPr>
          <w:rFonts w:hint="eastAsia"/>
          <w:b w:val="0"/>
          <w:bCs/>
          <w:color w:val="auto"/>
          <w:highlight w:val="none"/>
        </w:rPr>
        <w:t>算总投资</w:t>
      </w:r>
      <w:r>
        <w:rPr>
          <w:rFonts w:hint="eastAsia" w:ascii="宋体" w:hAnsi="宋体" w:cs="宋体"/>
          <w:color w:val="auto"/>
          <w:sz w:val="24"/>
          <w:szCs w:val="24"/>
          <w:highlight w:val="none"/>
          <w:lang w:val="en-US" w:eastAsia="zh-CN"/>
        </w:rPr>
        <w:t>835.52万</w:t>
      </w:r>
      <w:r>
        <w:rPr>
          <w:rFonts w:hint="eastAsia"/>
          <w:b w:val="0"/>
          <w:bCs/>
          <w:color w:val="auto"/>
          <w:highlight w:val="none"/>
        </w:rPr>
        <w:t>元，</w:t>
      </w:r>
      <w:r>
        <w:rPr>
          <w:rFonts w:hint="eastAsia"/>
          <w:b w:val="0"/>
          <w:bCs/>
          <w:color w:val="auto"/>
          <w:highlight w:val="none"/>
          <w:lang w:eastAsia="zh-CN"/>
        </w:rPr>
        <w:t>全部建设资金由广州市从化区财政承担。</w:t>
      </w:r>
    </w:p>
    <w:bookmarkEnd w:id="23"/>
    <w:p>
      <w:pPr>
        <w:ind w:firstLine="482"/>
        <w:rPr>
          <w:b w:val="0"/>
          <w:bCs/>
          <w:color w:val="auto"/>
          <w:highlight w:val="none"/>
        </w:rPr>
      </w:pPr>
      <w:r>
        <w:rPr>
          <w:rFonts w:hint="eastAsia"/>
          <w:b w:val="0"/>
          <w:bCs/>
          <w:color w:val="auto"/>
          <w:highlight w:val="none"/>
        </w:rPr>
        <w:t>（8）建设工期：本工程建设工期为</w:t>
      </w:r>
      <w:r>
        <w:rPr>
          <w:rFonts w:hint="eastAsia"/>
          <w:b w:val="0"/>
          <w:bCs/>
          <w:color w:val="auto"/>
          <w:highlight w:val="none"/>
          <w:lang w:val="en-US" w:eastAsia="zh-CN"/>
        </w:rPr>
        <w:t>8</w:t>
      </w:r>
      <w:r>
        <w:rPr>
          <w:rFonts w:hint="eastAsia"/>
          <w:b w:val="0"/>
          <w:bCs/>
          <w:color w:val="auto"/>
          <w:highlight w:val="none"/>
        </w:rPr>
        <w:t>个月，</w:t>
      </w:r>
      <w:r>
        <w:rPr>
          <w:rFonts w:hint="eastAsia"/>
          <w:b w:val="0"/>
          <w:bCs/>
          <w:color w:val="auto"/>
          <w:highlight w:val="none"/>
          <w:lang w:eastAsia="zh-CN"/>
        </w:rPr>
        <w:t>当</w:t>
      </w:r>
      <w:r>
        <w:rPr>
          <w:rFonts w:hint="eastAsia"/>
          <w:b w:val="0"/>
          <w:bCs/>
          <w:color w:val="auto"/>
          <w:highlight w:val="none"/>
        </w:rPr>
        <w:t>年</w:t>
      </w:r>
      <w:r>
        <w:rPr>
          <w:rFonts w:hint="eastAsia"/>
          <w:b w:val="0"/>
          <w:bCs/>
          <w:color w:val="auto"/>
          <w:highlight w:val="none"/>
          <w:lang w:val="en-US" w:eastAsia="zh-CN"/>
        </w:rPr>
        <w:t>9</w:t>
      </w:r>
      <w:r>
        <w:rPr>
          <w:rFonts w:hint="eastAsia"/>
          <w:b w:val="0"/>
          <w:bCs/>
          <w:color w:val="auto"/>
          <w:highlight w:val="none"/>
        </w:rPr>
        <w:t>月开工，</w:t>
      </w:r>
      <w:r>
        <w:rPr>
          <w:rFonts w:hint="eastAsia"/>
          <w:b w:val="0"/>
          <w:bCs/>
          <w:color w:val="auto"/>
          <w:highlight w:val="none"/>
          <w:lang w:eastAsia="zh-CN"/>
        </w:rPr>
        <w:t>次</w:t>
      </w:r>
      <w:r>
        <w:rPr>
          <w:rFonts w:hint="eastAsia"/>
          <w:b w:val="0"/>
          <w:bCs/>
          <w:color w:val="auto"/>
          <w:highlight w:val="none"/>
        </w:rPr>
        <w:t>年</w:t>
      </w:r>
      <w:r>
        <w:rPr>
          <w:rFonts w:hint="eastAsia"/>
          <w:b w:val="0"/>
          <w:bCs/>
          <w:color w:val="auto"/>
          <w:highlight w:val="none"/>
          <w:lang w:val="en-US" w:eastAsia="zh-CN"/>
        </w:rPr>
        <w:t>4</w:t>
      </w:r>
      <w:r>
        <w:rPr>
          <w:rFonts w:hint="eastAsia"/>
          <w:b w:val="0"/>
          <w:bCs/>
          <w:color w:val="auto"/>
          <w:highlight w:val="none"/>
        </w:rPr>
        <w:t>月完工。</w:t>
      </w:r>
    </w:p>
    <w:p>
      <w:pPr>
        <w:ind w:firstLine="482"/>
        <w:rPr>
          <w:b w:val="0"/>
          <w:bCs/>
          <w:color w:val="auto"/>
          <w:highlight w:val="none"/>
        </w:rPr>
      </w:pPr>
      <w:r>
        <w:rPr>
          <w:rFonts w:hint="eastAsia"/>
          <w:b w:val="0"/>
          <w:bCs/>
          <w:color w:val="auto"/>
          <w:highlight w:val="none"/>
        </w:rPr>
        <w:t>（9）建设单位：广州市从化区</w:t>
      </w:r>
      <w:r>
        <w:rPr>
          <w:rFonts w:hint="eastAsia"/>
          <w:b w:val="0"/>
          <w:bCs/>
          <w:color w:val="auto"/>
          <w:highlight w:val="none"/>
          <w:lang w:eastAsia="zh-CN"/>
        </w:rPr>
        <w:t>水务建设</w:t>
      </w:r>
      <w:r>
        <w:rPr>
          <w:rFonts w:hint="eastAsia"/>
          <w:b w:val="0"/>
          <w:bCs/>
          <w:color w:val="auto"/>
          <w:highlight w:val="none"/>
        </w:rPr>
        <w:t>中心</w:t>
      </w:r>
    </w:p>
    <w:p>
      <w:pPr>
        <w:ind w:firstLine="482"/>
        <w:rPr>
          <w:b w:val="0"/>
          <w:bCs/>
          <w:color w:val="auto"/>
          <w:highlight w:val="none"/>
        </w:rPr>
      </w:pPr>
      <w:r>
        <w:rPr>
          <w:rFonts w:hint="eastAsia"/>
          <w:b w:val="0"/>
          <w:bCs/>
          <w:color w:val="auto"/>
          <w:highlight w:val="none"/>
        </w:rPr>
        <w:t>（10）管理单位：</w:t>
      </w:r>
      <w:r>
        <w:rPr>
          <w:rFonts w:hint="eastAsia"/>
          <w:b w:val="0"/>
          <w:bCs/>
          <w:color w:val="auto"/>
          <w:highlight w:val="none"/>
          <w:lang w:eastAsia="zh-CN"/>
        </w:rPr>
        <w:t>广州市从化区温泉镇人民政府</w:t>
      </w:r>
    </w:p>
    <w:p>
      <w:pPr>
        <w:pStyle w:val="3"/>
        <w:rPr>
          <w:color w:val="auto"/>
          <w:highlight w:val="none"/>
        </w:rPr>
      </w:pPr>
      <w:bookmarkStart w:id="24" w:name="_Toc536295010"/>
      <w:bookmarkStart w:id="25" w:name="_Toc404766531"/>
      <w:bookmarkStart w:id="26" w:name="_Toc14574"/>
      <w:r>
        <w:rPr>
          <w:rFonts w:hint="eastAsia"/>
          <w:color w:val="auto"/>
          <w:highlight w:val="none"/>
        </w:rPr>
        <w:t xml:space="preserve">1.2 </w:t>
      </w:r>
      <w:bookmarkEnd w:id="24"/>
      <w:bookmarkEnd w:id="25"/>
      <w:r>
        <w:rPr>
          <w:rFonts w:hint="eastAsia"/>
          <w:color w:val="auto"/>
          <w:highlight w:val="none"/>
          <w:lang w:eastAsia="zh-CN"/>
        </w:rPr>
        <w:t>水文</w:t>
      </w:r>
      <w:bookmarkEnd w:id="26"/>
    </w:p>
    <w:p>
      <w:pPr>
        <w:pStyle w:val="335"/>
        <w:spacing w:before="120" w:after="120"/>
        <w:rPr>
          <w:color w:val="auto"/>
          <w:highlight w:val="none"/>
        </w:rPr>
      </w:pPr>
      <w:bookmarkStart w:id="27" w:name="_Toc328618565"/>
      <w:bookmarkStart w:id="28" w:name="_Toc322358279"/>
      <w:bookmarkStart w:id="29" w:name="_Toc323046793"/>
      <w:bookmarkStart w:id="30" w:name="_Toc321834768"/>
      <w:bookmarkStart w:id="31" w:name="_Toc322093199"/>
      <w:bookmarkStart w:id="32" w:name="_Toc536295011"/>
      <w:r>
        <w:rPr>
          <w:rFonts w:hint="eastAsia"/>
          <w:color w:val="auto"/>
          <w:highlight w:val="none"/>
        </w:rPr>
        <w:t>1.2.1 自然</w:t>
      </w:r>
      <w:bookmarkEnd w:id="27"/>
      <w:bookmarkEnd w:id="28"/>
      <w:bookmarkEnd w:id="29"/>
      <w:bookmarkEnd w:id="30"/>
      <w:bookmarkEnd w:id="31"/>
      <w:r>
        <w:rPr>
          <w:rFonts w:hint="eastAsia"/>
          <w:color w:val="auto"/>
          <w:highlight w:val="none"/>
        </w:rPr>
        <w:t>条件</w:t>
      </w:r>
      <w:bookmarkEnd w:id="32"/>
    </w:p>
    <w:p>
      <w:pPr>
        <w:ind w:firstLine="480"/>
        <w:rPr>
          <w:color w:val="auto"/>
          <w:highlight w:val="none"/>
        </w:rPr>
      </w:pPr>
      <w:r>
        <w:rPr>
          <w:rFonts w:hint="eastAsia"/>
          <w:color w:val="auto"/>
          <w:highlight w:val="none"/>
        </w:rPr>
        <w:t>流溪河流域地处南亚热带，属南亚热带典型的季风海洋气候，具有温暖多雨、光热充足、温差较小、夏季长、霜期短(南部地区无霜期，北部地区霜期短)等气候特征。冬季，蒙古高压势力强盛，极地大陆气团笼罩华南地区，气候干冷，睛天为主，春季（2～4月）大陆高压衰减，副热带太平洋高压西伸，温湿水汽开始流入，常出现梅雨天气；夏初南北气团进退不定，受西风带系统和热带系统共同作用，5～6月份有连续暴雨和特大暴雨，7～8月份随副热高压的北移，高压西北雨带也移至江淮一带，受热带季风影响，以热带气旋和热带低压形成的暴雨为本流域主要降雨过程，有些年份台风活动较少，雨量偏少，8后汛期结束，气温高而出现干旱，9～11月东亚季风减弱，北方冷空气开始活动，天气晴朗少云，有些年份出现秋旱。</w:t>
      </w:r>
    </w:p>
    <w:p>
      <w:pPr>
        <w:ind w:firstLine="480"/>
        <w:rPr>
          <w:color w:val="auto"/>
          <w:highlight w:val="none"/>
        </w:rPr>
      </w:pPr>
      <w:r>
        <w:rPr>
          <w:rFonts w:hint="eastAsia"/>
          <w:color w:val="auto"/>
          <w:highlight w:val="none"/>
        </w:rPr>
        <w:t>（1）气温</w:t>
      </w:r>
    </w:p>
    <w:p>
      <w:pPr>
        <w:ind w:firstLine="480"/>
        <w:rPr>
          <w:color w:val="auto"/>
          <w:highlight w:val="none"/>
        </w:rPr>
      </w:pPr>
      <w:r>
        <w:rPr>
          <w:rFonts w:hint="eastAsia"/>
          <w:color w:val="auto"/>
          <w:highlight w:val="none"/>
        </w:rPr>
        <w:t>流溪河流域多年平均气温在21.4℃～21.8℃之间，年内气温以7月份为最高，1月份为最低。绝对最高气温出现在白云区，达38.7℃；绝对最低气温出现在从化吕田，达-7℃。流域多年平均风速1.9m/s。多年平均日照时数约1900小时；对年平均相对湿度77％。</w:t>
      </w:r>
    </w:p>
    <w:p>
      <w:pPr>
        <w:ind w:firstLine="480"/>
        <w:rPr>
          <w:color w:val="auto"/>
          <w:highlight w:val="none"/>
        </w:rPr>
      </w:pPr>
      <w:r>
        <w:rPr>
          <w:rFonts w:hint="eastAsia"/>
          <w:color w:val="auto"/>
          <w:highlight w:val="none"/>
        </w:rPr>
        <w:t>（2）降水</w:t>
      </w:r>
    </w:p>
    <w:p>
      <w:pPr>
        <w:ind w:firstLine="480"/>
        <w:rPr>
          <w:color w:val="auto"/>
          <w:highlight w:val="none"/>
        </w:rPr>
      </w:pPr>
      <w:r>
        <w:rPr>
          <w:rFonts w:hint="eastAsia"/>
          <w:color w:val="auto"/>
          <w:highlight w:val="none"/>
        </w:rPr>
        <w:t>流域暴雨以锋面雨和台风雨为主，其它是对流（热雷）雨和地形雨，因此降雨有</w:t>
      </w:r>
      <w:bookmarkStart w:id="936" w:name="_GoBack"/>
      <w:r>
        <w:rPr>
          <w:rFonts w:hint="eastAsia"/>
          <w:color w:val="auto"/>
          <w:highlight w:val="none"/>
        </w:rPr>
        <w:t>较强的季节性，具有降雨强度大，降雨范围广的特点，降水年内分配不均。</w:t>
      </w:r>
    </w:p>
    <w:bookmarkEnd w:id="936"/>
    <w:p>
      <w:pPr>
        <w:ind w:firstLine="480"/>
        <w:rPr>
          <w:color w:val="auto"/>
          <w:highlight w:val="none"/>
        </w:rPr>
      </w:pPr>
      <w:r>
        <w:rPr>
          <w:rFonts w:hint="eastAsia"/>
          <w:color w:val="auto"/>
          <w:highlight w:val="none"/>
        </w:rPr>
        <w:t>由于天气系统的影响，本区暴雨有明显的前后汛期之分。每年4～6月份为前汛期，受西风带天气系统的影响，平均可发生10次暴雨过程。降雨以锋面雨为主，虽然暴雨量级不大，但局地性较强，时程分配较集中，年最大暴雨强度往往发生在该时期内。7～9月份为后汛期，受热带天气系统的影响，进入盛夏季节，降雨以台风雨为主，虽然暴雨时程分配较为均匀，但降雨范围广，总量大。从年最大24h及3d雨量均值等值线来看，区内暴雨量自南向北呈递增趋势。</w:t>
      </w:r>
    </w:p>
    <w:p>
      <w:pPr>
        <w:ind w:firstLine="480"/>
        <w:rPr>
          <w:color w:val="auto"/>
          <w:highlight w:val="none"/>
        </w:rPr>
      </w:pPr>
      <w:r>
        <w:rPr>
          <w:rFonts w:hint="eastAsia"/>
          <w:color w:val="auto"/>
          <w:highlight w:val="none"/>
        </w:rPr>
        <w:t>流域多年平均降水量1823.6mm，最高为流域东北部南侧的天堂顶为2580.0mm，最低为李溪1315.1mm，每年4～9月为雨季，受热雷影响的前汛期(4～6)占年降雨量的48.1%，受热带风暴影响的后汛期(7～9月)占年雨量的33.2%。合计半年降雨量占全年的81.3%，形成丰、枯季节雨量不均的状况。</w:t>
      </w:r>
    </w:p>
    <w:p>
      <w:pPr>
        <w:ind w:firstLine="480"/>
        <w:rPr>
          <w:color w:val="auto"/>
          <w:highlight w:val="none"/>
        </w:rPr>
      </w:pPr>
      <w:r>
        <w:rPr>
          <w:rFonts w:hint="eastAsia"/>
          <w:color w:val="auto"/>
          <w:highlight w:val="none"/>
        </w:rPr>
        <w:t>（3）风向、风速</w:t>
      </w:r>
    </w:p>
    <w:p>
      <w:pPr>
        <w:ind w:firstLine="480"/>
        <w:rPr>
          <w:rFonts w:hint="eastAsia"/>
          <w:color w:val="auto"/>
          <w:highlight w:val="none"/>
        </w:rPr>
      </w:pPr>
      <w:r>
        <w:rPr>
          <w:rFonts w:hint="eastAsia"/>
          <w:color w:val="auto"/>
          <w:highlight w:val="none"/>
        </w:rPr>
        <w:t>冬夏季风交替是从化季风气候的突出特征。冬季的极地大陆气团向南伸展有冷空气南下，干燥寒冷，多偏北风。夏季因热带海洋气团北伸，温暖潮湿，多偏南风或东南风，年平均风速1.6m/s左右，夏季台风出现时风力达9～12级，最大风速25～30m/s。</w:t>
      </w:r>
    </w:p>
    <w:p>
      <w:pPr>
        <w:ind w:firstLine="480"/>
        <w:rPr>
          <w:rFonts w:hint="eastAsia"/>
          <w:color w:val="auto"/>
          <w:highlight w:val="none"/>
        </w:rPr>
      </w:pPr>
      <w:r>
        <w:rPr>
          <w:rFonts w:hint="eastAsia"/>
          <w:color w:val="auto"/>
          <w:highlight w:val="none"/>
        </w:rPr>
        <w:t>（4）日照、湿度、蒸发</w:t>
      </w:r>
    </w:p>
    <w:p>
      <w:pPr>
        <w:ind w:firstLine="480"/>
        <w:rPr>
          <w:color w:val="auto"/>
          <w:highlight w:val="none"/>
        </w:rPr>
      </w:pPr>
      <w:r>
        <w:rPr>
          <w:rFonts w:hint="eastAsia"/>
          <w:color w:val="auto"/>
          <w:highlight w:val="none"/>
        </w:rPr>
        <w:t>从化区光热资源充足，年平均辐射量103571卡／c</w:t>
      </w:r>
      <w:r>
        <w:rPr>
          <w:rFonts w:hint="eastAsia"/>
          <w:color w:val="auto"/>
          <w:highlight w:val="none"/>
          <w:lang w:eastAsia="zh-CN"/>
        </w:rPr>
        <w:t>m²</w:t>
      </w:r>
      <w:r>
        <w:rPr>
          <w:rFonts w:hint="eastAsia"/>
          <w:color w:val="auto"/>
          <w:highlight w:val="none"/>
        </w:rPr>
        <w:t>，年平均日照中南部为1809.3h，北部为1697.6h，水面蒸发量年际变化不大，但年内分配差异显著，最大蒸发一般发生在7月，最小蒸发一般发生在2月。</w:t>
      </w:r>
    </w:p>
    <w:p>
      <w:pPr>
        <w:ind w:firstLine="480"/>
        <w:rPr>
          <w:color w:val="auto"/>
          <w:highlight w:val="none"/>
        </w:rPr>
      </w:pPr>
      <w:r>
        <w:rPr>
          <w:rFonts w:hint="eastAsia"/>
          <w:color w:val="auto"/>
          <w:highlight w:val="none"/>
        </w:rPr>
        <w:t>流溪河流域多年平均相对湿度75～85％，从化区月平均相对湿度在62％～93％之间。</w:t>
      </w:r>
    </w:p>
    <w:p>
      <w:pPr>
        <w:ind w:firstLine="480"/>
        <w:rPr>
          <w:color w:val="auto"/>
          <w:highlight w:val="none"/>
        </w:rPr>
      </w:pPr>
      <w:r>
        <w:rPr>
          <w:rFonts w:hint="eastAsia"/>
          <w:color w:val="auto"/>
          <w:highlight w:val="none"/>
        </w:rPr>
        <w:t>流溪河流域多年平均水面蒸发量1100mm，中、下游较大，温泉以西蒸发量为1300mm，以东为1200mm。</w:t>
      </w:r>
    </w:p>
    <w:p>
      <w:pPr>
        <w:pStyle w:val="335"/>
        <w:spacing w:before="120" w:after="120"/>
        <w:rPr>
          <w:color w:val="auto"/>
          <w:highlight w:val="none"/>
        </w:rPr>
      </w:pPr>
      <w:bookmarkStart w:id="33" w:name="_Toc536295012"/>
      <w:r>
        <w:rPr>
          <w:rFonts w:hint="eastAsia"/>
          <w:color w:val="auto"/>
          <w:highlight w:val="none"/>
        </w:rPr>
        <w:t>1.2.2 暴雨洪水特征</w:t>
      </w:r>
      <w:bookmarkEnd w:id="33"/>
    </w:p>
    <w:p>
      <w:pPr>
        <w:ind w:firstLine="480"/>
        <w:rPr>
          <w:color w:val="auto"/>
          <w:highlight w:val="none"/>
        </w:rPr>
      </w:pPr>
      <w:r>
        <w:rPr>
          <w:rFonts w:hint="eastAsia"/>
          <w:color w:val="auto"/>
          <w:highlight w:val="none"/>
        </w:rPr>
        <w:t>由于天气系统的影响，流域暴雨有明显的前后汛期之分。每年4～6月份为前汛期，受西风带天气系统的影响，平均可发生10次暴雨过程。降雨以锋面雨为主，虽然暴雨量级不大，但局地性较强，时程分配较集中，年最大暴雨强度往往发生在该时期内。7～9月份为后汛期，受热带天气系统的影响，进入盛夏季节，降雨以台风雨为主，虽然暴雨时程分配较为均匀，但降雨范围广，总量大。从年最大24h及3d雨量均值等值线来看，流域暴雨量自南向北呈递增趋势。</w:t>
      </w:r>
    </w:p>
    <w:p>
      <w:pPr>
        <w:ind w:firstLine="480"/>
        <w:rPr>
          <w:color w:val="auto"/>
          <w:highlight w:val="none"/>
        </w:rPr>
      </w:pPr>
      <w:r>
        <w:rPr>
          <w:rFonts w:hint="eastAsia"/>
          <w:color w:val="auto"/>
          <w:highlight w:val="none"/>
        </w:rPr>
        <w:t>一般在每年三月中、下旬就开始有中、小洪水发生，较大或大洪水多发生在五、六月，七至九月发生洪水机会明显减少，就是发生洪水峰量也没有前汛期大。据牛心岭站1952年至1994年实测资料统计，年最大流量在1000</w:t>
      </w:r>
      <w:r>
        <w:rPr>
          <w:rFonts w:hint="eastAsia"/>
          <w:color w:val="auto"/>
          <w:highlight w:val="none"/>
          <w:lang w:eastAsia="zh-CN"/>
        </w:rPr>
        <w:t>m³</w:t>
      </w:r>
      <w:r>
        <w:rPr>
          <w:rFonts w:hint="eastAsia"/>
          <w:color w:val="auto"/>
          <w:highlight w:val="none"/>
        </w:rPr>
        <w:t>/s以上共有十一年次，其中九年次发生在五、六月，只有一次发生在四月下旬，一次发生在七月中旬，该站实测得最大流量为1870</w:t>
      </w:r>
      <w:r>
        <w:rPr>
          <w:rFonts w:hint="eastAsia"/>
          <w:color w:val="auto"/>
          <w:highlight w:val="none"/>
          <w:lang w:eastAsia="zh-CN"/>
        </w:rPr>
        <w:t>m³</w:t>
      </w:r>
      <w:r>
        <w:rPr>
          <w:rFonts w:hint="eastAsia"/>
          <w:color w:val="auto"/>
          <w:highlight w:val="none"/>
        </w:rPr>
        <w:t>/s(1957年5月28日)，查测历史最大洪峰流量为3311</w:t>
      </w:r>
      <w:r>
        <w:rPr>
          <w:rFonts w:hint="eastAsia"/>
          <w:color w:val="auto"/>
          <w:highlight w:val="none"/>
          <w:lang w:eastAsia="zh-CN"/>
        </w:rPr>
        <w:t>m³</w:t>
      </w:r>
      <w:r>
        <w:rPr>
          <w:rFonts w:hint="eastAsia"/>
          <w:color w:val="auto"/>
          <w:highlight w:val="none"/>
        </w:rPr>
        <w:t>/s(1852年6月13日)，都发生在前汛期。另外流溪河的流域面积不大，且中、下游较近暴雨区，因此，该河的较大和大洪水发生时上、下游都较一致，其洪水过程在中、下游多为单峰或双峰型两类，双峰型的主峰出现在前、后的都有，但较大的洪水（峰量大于1000</w:t>
      </w:r>
      <w:r>
        <w:rPr>
          <w:rFonts w:hint="eastAsia"/>
          <w:color w:val="auto"/>
          <w:highlight w:val="none"/>
          <w:lang w:eastAsia="zh-CN"/>
        </w:rPr>
        <w:t>m³</w:t>
      </w:r>
      <w:r>
        <w:rPr>
          <w:rFonts w:hint="eastAsia"/>
          <w:color w:val="auto"/>
          <w:highlight w:val="none"/>
        </w:rPr>
        <w:t>/s）主峰都是在后，如1957、1959、1983、1987年的年最大洪水过程都是如此。同时该河流中、下游洪水亦有陡涨急落趋势，洪水历时随暴雨历时而变，一般多为三至七天。</w:t>
      </w:r>
    </w:p>
    <w:p>
      <w:pPr>
        <w:pStyle w:val="335"/>
        <w:spacing w:before="120" w:after="120"/>
        <w:rPr>
          <w:color w:val="auto"/>
          <w:highlight w:val="none"/>
        </w:rPr>
      </w:pPr>
      <w:bookmarkStart w:id="34" w:name="_Toc536295013"/>
      <w:r>
        <w:rPr>
          <w:rFonts w:hint="eastAsia"/>
          <w:color w:val="auto"/>
          <w:highlight w:val="none"/>
        </w:rPr>
        <w:t>1.2.3 设计</w:t>
      </w:r>
      <w:r>
        <w:rPr>
          <w:color w:val="auto"/>
          <w:highlight w:val="none"/>
        </w:rPr>
        <w:t>洪水</w:t>
      </w:r>
      <w:bookmarkEnd w:id="34"/>
    </w:p>
    <w:p>
      <w:pPr>
        <w:ind w:firstLine="480"/>
        <w:rPr>
          <w:color w:val="auto"/>
          <w:highlight w:val="none"/>
        </w:rPr>
      </w:pPr>
      <w:r>
        <w:rPr>
          <w:rFonts w:hint="eastAsia"/>
          <w:color w:val="auto"/>
          <w:highlight w:val="none"/>
          <w:lang w:eastAsia="zh-CN"/>
        </w:rPr>
        <w:t>本次</w:t>
      </w:r>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渠道进行三面光改造，改造起点位于温泉镇桃莲村委后（桩号0+000），距离干渠渠首约5.5km，终点位于从莞深高速公路穿路箱涵进水口（桩号1+207），改造总长1207m，</w:t>
      </w:r>
      <w:r>
        <w:rPr>
          <w:rFonts w:hint="eastAsia"/>
          <w:color w:val="auto"/>
          <w:kern w:val="0"/>
          <w:highlight w:val="none"/>
        </w:rPr>
        <w:t>干渠兼顾排洪及灌溉功能，其设计洪水计算，一般包括：</w:t>
      </w:r>
    </w:p>
    <w:p>
      <w:pPr>
        <w:ind w:firstLine="480"/>
        <w:rPr>
          <w:color w:val="auto"/>
          <w:highlight w:val="none"/>
        </w:rPr>
      </w:pPr>
      <w:r>
        <w:rPr>
          <w:rFonts w:hint="eastAsia"/>
          <w:color w:val="auto"/>
          <w:highlight w:val="none"/>
        </w:rPr>
        <w:t>（1）取水口</w:t>
      </w:r>
      <w:r>
        <w:rPr>
          <w:color w:val="auto"/>
          <w:highlight w:val="none"/>
        </w:rPr>
        <w:t>设计洪水；</w:t>
      </w:r>
    </w:p>
    <w:p>
      <w:pPr>
        <w:ind w:firstLine="480"/>
        <w:rPr>
          <w:color w:val="auto"/>
          <w:highlight w:val="none"/>
        </w:rPr>
      </w:pPr>
      <w:r>
        <w:rPr>
          <w:rFonts w:hint="eastAsia"/>
          <w:color w:val="auto"/>
          <w:highlight w:val="none"/>
        </w:rPr>
        <w:t>（2）交叉建筑物的设计洪水；</w:t>
      </w:r>
    </w:p>
    <w:p>
      <w:pPr>
        <w:ind w:firstLine="480"/>
        <w:rPr>
          <w:color w:val="auto"/>
          <w:highlight w:val="none"/>
        </w:rPr>
      </w:pPr>
      <w:r>
        <w:rPr>
          <w:rFonts w:hint="eastAsia"/>
          <w:color w:val="auto"/>
          <w:highlight w:val="none"/>
        </w:rPr>
        <w:t>（3）承担排洪任务或有山洪汇入的渠段的设计洪水。</w:t>
      </w:r>
    </w:p>
    <w:p>
      <w:pPr>
        <w:ind w:firstLine="480"/>
        <w:rPr>
          <w:color w:val="auto"/>
          <w:highlight w:val="none"/>
        </w:rPr>
      </w:pPr>
      <w:r>
        <w:rPr>
          <w:rFonts w:hint="eastAsia"/>
          <w:color w:val="auto"/>
          <w:highlight w:val="none"/>
        </w:rPr>
        <w:t>设计洪水的计算根据工程的集水面积，所在流域的暴雨洪水特性、实测水文资料情况等因素采用按实测流量资料推算设计洪水或按暴雨资料推算设计洪水的方法。</w:t>
      </w:r>
    </w:p>
    <w:p>
      <w:pPr>
        <w:ind w:firstLine="480"/>
        <w:rPr>
          <w:color w:val="auto"/>
          <w:highlight w:val="none"/>
        </w:rPr>
      </w:pPr>
      <w:r>
        <w:rPr>
          <w:rFonts w:hint="eastAsia"/>
          <w:color w:val="auto"/>
          <w:highlight w:val="none"/>
        </w:rPr>
        <w:t>根据本工程实际情况，温泉镇南大水库灌区（</w:t>
      </w:r>
      <w:r>
        <w:rPr>
          <w:rFonts w:hint="eastAsia"/>
          <w:color w:val="auto"/>
          <w:highlight w:val="none"/>
          <w:lang w:eastAsia="zh-CN"/>
        </w:rPr>
        <w:t>桃莲段</w:t>
      </w:r>
      <w:r>
        <w:rPr>
          <w:rFonts w:hint="eastAsia"/>
          <w:color w:val="auto"/>
          <w:highlight w:val="none"/>
        </w:rPr>
        <w:t>）改造工程设计洪水计算主要有两种，一种为有山洪汇入渠段的设计洪水计算，渠道内洪水主要通过渠段下游</w:t>
      </w:r>
      <w:r>
        <w:rPr>
          <w:rFonts w:hint="eastAsia"/>
          <w:color w:val="auto"/>
          <w:highlight w:val="none"/>
          <w:lang w:eastAsia="zh-CN"/>
        </w:rPr>
        <w:t>泄洪闸</w:t>
      </w:r>
      <w:r>
        <w:rPr>
          <w:rFonts w:hint="eastAsia"/>
          <w:color w:val="auto"/>
          <w:highlight w:val="none"/>
        </w:rPr>
        <w:t>沿现有排洪沟汇入河道或承泄区，使渠段内洪水不对下游渠道产生影响；一种为渠系建筑物设计洪水计算。</w:t>
      </w:r>
    </w:p>
    <w:p>
      <w:pPr>
        <w:ind w:firstLine="480"/>
        <w:rPr>
          <w:color w:val="auto"/>
          <w:highlight w:val="none"/>
        </w:rPr>
      </w:pPr>
      <w:r>
        <w:rPr>
          <w:rFonts w:hint="eastAsia"/>
          <w:color w:val="auto"/>
          <w:highlight w:val="none"/>
        </w:rPr>
        <w:t>渠系建筑物的设计洪水亦有两种，一种为渠系建筑物自身集雨范围内产生的洪水，指</w:t>
      </w:r>
      <w:r>
        <w:rPr>
          <w:rFonts w:hint="eastAsia"/>
          <w:color w:val="auto"/>
          <w:highlight w:val="none"/>
          <w:lang w:eastAsia="zh-CN"/>
        </w:rPr>
        <w:t>泄洪闸</w:t>
      </w:r>
      <w:r>
        <w:rPr>
          <w:rFonts w:hint="eastAsia"/>
          <w:color w:val="auto"/>
          <w:highlight w:val="none"/>
        </w:rPr>
        <w:t>、渠下涵的设计洪水(其中</w:t>
      </w:r>
      <w:r>
        <w:rPr>
          <w:rFonts w:hint="eastAsia"/>
          <w:color w:val="auto"/>
          <w:highlight w:val="none"/>
          <w:lang w:eastAsia="zh-CN"/>
        </w:rPr>
        <w:t>泄洪闸</w:t>
      </w:r>
      <w:r>
        <w:rPr>
          <w:rFonts w:hint="eastAsia"/>
          <w:color w:val="auto"/>
          <w:highlight w:val="none"/>
        </w:rPr>
        <w:t>设计洪水与其上游有山洪汇入渠段设计洪水一致)；另一种为跨河、涉河建筑物，主要为渡槽所在的天然河道断面的设计洪水。</w:t>
      </w:r>
    </w:p>
    <w:p>
      <w:pPr>
        <w:ind w:firstLine="480"/>
        <w:rPr>
          <w:color w:val="auto"/>
          <w:highlight w:val="none"/>
        </w:rPr>
      </w:pPr>
      <w:r>
        <w:rPr>
          <w:rFonts w:hint="eastAsia"/>
          <w:color w:val="auto"/>
          <w:highlight w:val="none"/>
        </w:rPr>
        <w:t>通过现场调查可知，渠系跨河渡槽底板高程高于所跨天然河道的堤顶高程，不受天然河道洪水影响。本次设计仅对沿线有山洪汇入渠段设计洪水（</w:t>
      </w:r>
      <w:r>
        <w:rPr>
          <w:rFonts w:hint="eastAsia"/>
          <w:color w:val="auto"/>
          <w:highlight w:val="none"/>
          <w:lang w:eastAsia="zh-CN"/>
        </w:rPr>
        <w:t>泄洪闸</w:t>
      </w:r>
      <w:r>
        <w:rPr>
          <w:rFonts w:hint="eastAsia"/>
          <w:color w:val="auto"/>
          <w:highlight w:val="none"/>
        </w:rPr>
        <w:t>设计洪水）进行计算。</w:t>
      </w:r>
    </w:p>
    <w:p>
      <w:pPr>
        <w:ind w:firstLine="480"/>
        <w:rPr>
          <w:color w:val="auto"/>
          <w:highlight w:val="none"/>
        </w:rPr>
      </w:pPr>
      <w:r>
        <w:rPr>
          <w:rFonts w:hint="eastAsia"/>
          <w:color w:val="auto"/>
          <w:highlight w:val="none"/>
        </w:rPr>
        <w:t>根据《从化区水系规划》及本区域其它相关规划，本工程主要</w:t>
      </w:r>
      <w:r>
        <w:rPr>
          <w:color w:val="auto"/>
          <w:highlight w:val="none"/>
        </w:rPr>
        <w:t>位于农田区</w:t>
      </w:r>
      <w:r>
        <w:rPr>
          <w:rFonts w:hint="eastAsia"/>
          <w:color w:val="auto"/>
          <w:highlight w:val="none"/>
        </w:rPr>
        <w:t>，排涝标准为</w:t>
      </w:r>
      <w:r>
        <w:rPr>
          <w:color w:val="auto"/>
          <w:highlight w:val="none"/>
        </w:rPr>
        <w:t>1</w:t>
      </w:r>
      <w:r>
        <w:rPr>
          <w:rFonts w:hint="eastAsia"/>
          <w:color w:val="auto"/>
          <w:highlight w:val="none"/>
        </w:rPr>
        <w:t>0年一遇最大24小时设计暴雨不成灾。</w:t>
      </w:r>
    </w:p>
    <w:p>
      <w:pPr>
        <w:ind w:firstLine="480"/>
        <w:rPr>
          <w:color w:val="auto"/>
          <w:highlight w:val="none"/>
        </w:rPr>
      </w:pPr>
      <w:r>
        <w:rPr>
          <w:rFonts w:hint="eastAsia"/>
          <w:color w:val="auto"/>
          <w:highlight w:val="none"/>
        </w:rPr>
        <w:t>由于本工程</w:t>
      </w:r>
      <w:r>
        <w:rPr>
          <w:rFonts w:hint="eastAsia"/>
          <w:color w:val="auto"/>
          <w:highlight w:val="none"/>
          <w:lang w:eastAsia="zh-CN"/>
        </w:rPr>
        <w:t>泄洪闸</w:t>
      </w:r>
      <w:r>
        <w:rPr>
          <w:rFonts w:hint="eastAsia"/>
          <w:color w:val="auto"/>
          <w:highlight w:val="none"/>
        </w:rPr>
        <w:t>等排水区域面积较小（均≤5k</w:t>
      </w:r>
      <w:r>
        <w:rPr>
          <w:rFonts w:hint="eastAsia"/>
          <w:color w:val="auto"/>
          <w:highlight w:val="none"/>
          <w:lang w:eastAsia="zh-CN"/>
        </w:rPr>
        <w:t>m²</w:t>
      </w:r>
      <w:r>
        <w:rPr>
          <w:rFonts w:hint="eastAsia"/>
          <w:color w:val="auto"/>
          <w:highlight w:val="none"/>
        </w:rPr>
        <w:t>），采用经验公式法计算能较好反映实际情况。且利用流域附近已有工程水文资料复核本次计算设计洪水，成果相差均在合理范围以内（即误差15%左右）。综上所述，本次设计洪水计算成果基本合理。</w:t>
      </w:r>
      <w:r>
        <w:rPr>
          <w:color w:val="auto"/>
          <w:highlight w:val="none"/>
        </w:rPr>
        <w:t>本工程设计排涝流量计算成果见</w:t>
      </w:r>
      <w:r>
        <w:rPr>
          <w:rFonts w:hint="eastAsia"/>
          <w:color w:val="auto"/>
          <w:highlight w:val="none"/>
        </w:rPr>
        <w:t>下表</w:t>
      </w:r>
      <w:r>
        <w:rPr>
          <w:color w:val="auto"/>
          <w:highlight w:val="none"/>
        </w:rPr>
        <w:t>。</w:t>
      </w:r>
    </w:p>
    <w:p>
      <w:pPr>
        <w:pStyle w:val="264"/>
        <w:numPr>
          <w:ilvl w:val="4"/>
          <w:numId w:val="0"/>
        </w:numPr>
        <w:jc w:val="center"/>
        <w:rPr>
          <w:rFonts w:hint="eastAsia" w:ascii="宋体" w:hAnsi="宋体" w:eastAsia="黑体"/>
          <w:b w:val="0"/>
          <w:color w:val="auto"/>
          <w:highlight w:val="none"/>
          <w:lang w:eastAsia="zh-CN"/>
        </w:rPr>
      </w:pPr>
    </w:p>
    <w:p>
      <w:pPr>
        <w:pStyle w:val="264"/>
        <w:numPr>
          <w:ilvl w:val="4"/>
          <w:numId w:val="0"/>
        </w:numPr>
        <w:jc w:val="center"/>
        <w:rPr>
          <w:rFonts w:hint="eastAsia" w:ascii="宋体" w:hAnsi="宋体" w:eastAsia="黑体"/>
          <w:b w:val="0"/>
          <w:color w:val="auto"/>
          <w:highlight w:val="none"/>
          <w:lang w:eastAsia="zh-CN"/>
        </w:rPr>
      </w:pPr>
    </w:p>
    <w:p>
      <w:pPr>
        <w:pStyle w:val="264"/>
        <w:numPr>
          <w:ilvl w:val="4"/>
          <w:numId w:val="0"/>
        </w:numPr>
        <w:jc w:val="center"/>
        <w:rPr>
          <w:rFonts w:hint="eastAsia" w:ascii="宋体" w:hAnsi="宋体" w:eastAsia="黑体"/>
          <w:b w:val="0"/>
          <w:color w:val="auto"/>
          <w:highlight w:val="none"/>
          <w:lang w:eastAsia="zh-CN"/>
        </w:rPr>
      </w:pPr>
    </w:p>
    <w:p>
      <w:pPr>
        <w:pStyle w:val="264"/>
        <w:numPr>
          <w:ilvl w:val="4"/>
          <w:numId w:val="0"/>
        </w:numPr>
        <w:jc w:val="center"/>
        <w:rPr>
          <w:rFonts w:hint="eastAsia" w:ascii="宋体" w:hAnsi="宋体" w:eastAsia="黑体"/>
          <w:b w:val="0"/>
          <w:color w:val="auto"/>
          <w:highlight w:val="none"/>
          <w:lang w:eastAsia="zh-CN"/>
        </w:rPr>
      </w:pPr>
    </w:p>
    <w:p>
      <w:pPr>
        <w:pStyle w:val="264"/>
        <w:numPr>
          <w:ilvl w:val="4"/>
          <w:numId w:val="0"/>
        </w:numPr>
        <w:jc w:val="center"/>
        <w:rPr>
          <w:rFonts w:ascii="宋体" w:hAnsi="宋体" w:eastAsia="黑体"/>
          <w:b w:val="0"/>
          <w:color w:val="auto"/>
          <w:highlight w:val="none"/>
        </w:rPr>
      </w:pPr>
      <w:r>
        <w:rPr>
          <w:rFonts w:hint="eastAsia" w:ascii="宋体" w:hAnsi="宋体" w:eastAsia="黑体"/>
          <w:b w:val="0"/>
          <w:color w:val="auto"/>
          <w:highlight w:val="none"/>
          <w:lang w:eastAsia="zh-CN"/>
        </w:rPr>
        <w:t>表</w:t>
      </w:r>
      <w:r>
        <w:rPr>
          <w:rFonts w:hint="eastAsia" w:ascii="宋体" w:hAnsi="宋体" w:eastAsia="黑体"/>
          <w:b w:val="0"/>
          <w:color w:val="auto"/>
          <w:highlight w:val="none"/>
          <w:lang w:val="en-US" w:eastAsia="zh-CN"/>
        </w:rPr>
        <w:t xml:space="preserve">1-1 </w:t>
      </w:r>
      <w:r>
        <w:rPr>
          <w:rFonts w:ascii="宋体" w:hAnsi="宋体" w:eastAsia="黑体"/>
          <w:b w:val="0"/>
          <w:color w:val="auto"/>
          <w:highlight w:val="none"/>
        </w:rPr>
        <w:t>设计</w:t>
      </w:r>
      <w:r>
        <w:rPr>
          <w:rFonts w:hint="eastAsia" w:ascii="宋体" w:hAnsi="宋体" w:eastAsia="黑体"/>
          <w:b w:val="0"/>
          <w:color w:val="auto"/>
          <w:highlight w:val="none"/>
        </w:rPr>
        <w:t>洪水</w:t>
      </w:r>
      <w:r>
        <w:rPr>
          <w:rFonts w:ascii="宋体" w:hAnsi="宋体" w:eastAsia="黑体"/>
          <w:b w:val="0"/>
          <w:color w:val="auto"/>
          <w:highlight w:val="none"/>
        </w:rPr>
        <w:t>计算成果</w:t>
      </w:r>
    </w:p>
    <w:tbl>
      <w:tblPr>
        <w:tblStyle w:val="47"/>
        <w:tblW w:w="87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40"/>
        <w:gridCol w:w="1132"/>
        <w:gridCol w:w="1014"/>
        <w:gridCol w:w="830"/>
        <w:gridCol w:w="1112"/>
        <w:gridCol w:w="1387"/>
        <w:gridCol w:w="16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blHeader/>
          <w:jc w:val="center"/>
        </w:trPr>
        <w:tc>
          <w:tcPr>
            <w:tcW w:w="1640" w:type="dxa"/>
            <w:shd w:val="clear" w:color="auto" w:fill="auto"/>
            <w:vAlign w:val="center"/>
          </w:tcPr>
          <w:p>
            <w:pPr>
              <w:pStyle w:val="272"/>
              <w:spacing w:line="240" w:lineRule="auto"/>
              <w:rPr>
                <w:color w:val="auto"/>
                <w:highlight w:val="none"/>
              </w:rPr>
            </w:pPr>
            <w:r>
              <w:rPr>
                <w:color w:val="auto"/>
                <w:highlight w:val="none"/>
              </w:rPr>
              <w:t>水闸名称</w:t>
            </w:r>
          </w:p>
        </w:tc>
        <w:tc>
          <w:tcPr>
            <w:tcW w:w="1132" w:type="dxa"/>
            <w:shd w:val="clear" w:color="auto" w:fill="auto"/>
            <w:vAlign w:val="center"/>
          </w:tcPr>
          <w:p>
            <w:pPr>
              <w:pStyle w:val="272"/>
              <w:spacing w:line="240" w:lineRule="auto"/>
              <w:rPr>
                <w:color w:val="auto"/>
                <w:highlight w:val="none"/>
              </w:rPr>
            </w:pPr>
            <w:r>
              <w:rPr>
                <w:color w:val="auto"/>
                <w:highlight w:val="none"/>
              </w:rPr>
              <w:t>所在桩号</w:t>
            </w:r>
          </w:p>
        </w:tc>
        <w:tc>
          <w:tcPr>
            <w:tcW w:w="1014" w:type="dxa"/>
            <w:shd w:val="clear" w:color="auto" w:fill="auto"/>
            <w:vAlign w:val="center"/>
          </w:tcPr>
          <w:p>
            <w:pPr>
              <w:pStyle w:val="272"/>
              <w:spacing w:line="240" w:lineRule="auto"/>
              <w:rPr>
                <w:color w:val="auto"/>
                <w:highlight w:val="none"/>
              </w:rPr>
            </w:pPr>
            <w:r>
              <w:rPr>
                <w:color w:val="auto"/>
                <w:highlight w:val="none"/>
              </w:rPr>
              <w:t>集雨面积</w:t>
            </w:r>
            <w:r>
              <w:rPr>
                <w:rFonts w:hint="eastAsia"/>
                <w:color w:val="auto"/>
                <w:highlight w:val="none"/>
              </w:rPr>
              <w:t>(</w:t>
            </w:r>
            <w:r>
              <w:rPr>
                <w:color w:val="auto"/>
                <w:highlight w:val="none"/>
              </w:rPr>
              <w:t>k</w:t>
            </w:r>
            <w:r>
              <w:rPr>
                <w:rFonts w:hint="eastAsia"/>
                <w:color w:val="auto"/>
                <w:highlight w:val="none"/>
                <w:lang w:eastAsia="zh-CN"/>
              </w:rPr>
              <w:t>m²</w:t>
            </w:r>
            <w:r>
              <w:rPr>
                <w:color w:val="auto"/>
                <w:highlight w:val="none"/>
              </w:rPr>
              <w:t>)</w:t>
            </w:r>
          </w:p>
        </w:tc>
        <w:tc>
          <w:tcPr>
            <w:tcW w:w="830" w:type="dxa"/>
            <w:shd w:val="clear" w:color="auto" w:fill="auto"/>
            <w:vAlign w:val="center"/>
          </w:tcPr>
          <w:p>
            <w:pPr>
              <w:pStyle w:val="272"/>
              <w:spacing w:line="240" w:lineRule="auto"/>
              <w:rPr>
                <w:color w:val="auto"/>
                <w:highlight w:val="none"/>
              </w:rPr>
            </w:pPr>
            <w:r>
              <w:rPr>
                <w:rFonts w:hint="eastAsia"/>
                <w:color w:val="auto"/>
                <w:highlight w:val="none"/>
              </w:rPr>
              <w:t>特征河长(</w:t>
            </w:r>
            <w:r>
              <w:rPr>
                <w:color w:val="auto"/>
                <w:highlight w:val="none"/>
              </w:rPr>
              <w:t>m)</w:t>
            </w:r>
          </w:p>
        </w:tc>
        <w:tc>
          <w:tcPr>
            <w:tcW w:w="1112" w:type="dxa"/>
            <w:vAlign w:val="center"/>
          </w:tcPr>
          <w:p>
            <w:pPr>
              <w:pStyle w:val="272"/>
              <w:spacing w:line="240" w:lineRule="auto"/>
              <w:rPr>
                <w:color w:val="auto"/>
                <w:highlight w:val="none"/>
              </w:rPr>
            </w:pPr>
            <w:r>
              <w:rPr>
                <w:rFonts w:hint="eastAsia"/>
                <w:color w:val="auto"/>
                <w:highlight w:val="none"/>
              </w:rPr>
              <w:t>设计</w:t>
            </w:r>
            <w:r>
              <w:rPr>
                <w:color w:val="auto"/>
                <w:highlight w:val="none"/>
              </w:rPr>
              <w:t>标准</w:t>
            </w:r>
          </w:p>
        </w:tc>
        <w:tc>
          <w:tcPr>
            <w:tcW w:w="1387" w:type="dxa"/>
            <w:vAlign w:val="center"/>
          </w:tcPr>
          <w:p>
            <w:pPr>
              <w:pStyle w:val="272"/>
              <w:spacing w:line="240" w:lineRule="auto"/>
              <w:rPr>
                <w:color w:val="auto"/>
                <w:highlight w:val="none"/>
              </w:rPr>
            </w:pPr>
            <w:r>
              <w:rPr>
                <w:color w:val="auto"/>
                <w:highlight w:val="none"/>
              </w:rPr>
              <w:t>设计洪峰</w:t>
            </w:r>
          </w:p>
          <w:p>
            <w:pPr>
              <w:pStyle w:val="272"/>
              <w:spacing w:line="240" w:lineRule="auto"/>
              <w:rPr>
                <w:color w:val="auto"/>
                <w:highlight w:val="none"/>
              </w:rPr>
            </w:pPr>
            <w:r>
              <w:rPr>
                <w:rFonts w:hint="eastAsia"/>
                <w:color w:val="auto"/>
                <w:highlight w:val="none"/>
              </w:rPr>
              <w:t>(</w:t>
            </w:r>
            <w:r>
              <w:rPr>
                <w:rFonts w:hint="eastAsia"/>
                <w:color w:val="auto"/>
                <w:highlight w:val="none"/>
                <w:lang w:eastAsia="zh-CN"/>
              </w:rPr>
              <w:t>m³</w:t>
            </w:r>
            <w:r>
              <w:rPr>
                <w:color w:val="auto"/>
                <w:highlight w:val="none"/>
              </w:rPr>
              <w:t>/s)</w:t>
            </w:r>
          </w:p>
        </w:tc>
        <w:tc>
          <w:tcPr>
            <w:tcW w:w="1662" w:type="dxa"/>
            <w:shd w:val="clear" w:color="auto" w:fill="auto"/>
            <w:vAlign w:val="center"/>
          </w:tcPr>
          <w:p>
            <w:pPr>
              <w:pStyle w:val="272"/>
              <w:spacing w:line="240" w:lineRule="auto"/>
              <w:rPr>
                <w:color w:val="auto"/>
                <w:highlight w:val="none"/>
              </w:rPr>
            </w:pPr>
            <w:r>
              <w:rPr>
                <w:rFonts w:hint="eastAsia"/>
                <w:color w:val="auto"/>
                <w:highlight w:val="none"/>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640" w:type="dxa"/>
            <w:shd w:val="clear" w:color="auto" w:fill="auto"/>
            <w:vAlign w:val="center"/>
          </w:tcPr>
          <w:p>
            <w:pPr>
              <w:pStyle w:val="272"/>
              <w:spacing w:line="240" w:lineRule="auto"/>
              <w:rPr>
                <w:color w:val="auto"/>
                <w:highlight w:val="none"/>
              </w:rPr>
            </w:pPr>
            <w:r>
              <w:rPr>
                <w:rFonts w:hint="eastAsia"/>
                <w:color w:val="auto"/>
                <w:highlight w:val="none"/>
                <w:lang w:val="en-US" w:eastAsia="zh-CN"/>
              </w:rPr>
              <w:t>1#</w:t>
            </w:r>
            <w:r>
              <w:rPr>
                <w:color w:val="auto"/>
                <w:highlight w:val="none"/>
              </w:rPr>
              <w:t>泄洪闸</w:t>
            </w:r>
          </w:p>
        </w:tc>
        <w:tc>
          <w:tcPr>
            <w:tcW w:w="1132" w:type="dxa"/>
            <w:shd w:val="clear" w:color="auto" w:fill="auto"/>
            <w:vAlign w:val="center"/>
          </w:tcPr>
          <w:p>
            <w:pPr>
              <w:pStyle w:val="272"/>
              <w:spacing w:line="240" w:lineRule="auto"/>
              <w:rPr>
                <w:rFonts w:hint="default" w:eastAsia="宋体"/>
                <w:color w:val="auto"/>
                <w:highlight w:val="none"/>
                <w:lang w:val="en-US" w:eastAsia="zh-CN"/>
              </w:rPr>
            </w:pPr>
            <w:r>
              <w:rPr>
                <w:rFonts w:hint="eastAsia"/>
                <w:color w:val="auto"/>
                <w:highlight w:val="none"/>
                <w:lang w:val="en-US" w:eastAsia="zh-CN"/>
              </w:rPr>
              <w:t>0+005</w:t>
            </w:r>
          </w:p>
        </w:tc>
        <w:tc>
          <w:tcPr>
            <w:tcW w:w="1014" w:type="dxa"/>
            <w:shd w:val="clear" w:color="auto" w:fill="auto"/>
            <w:vAlign w:val="center"/>
          </w:tcPr>
          <w:p>
            <w:pPr>
              <w:pStyle w:val="272"/>
              <w:spacing w:line="240" w:lineRule="auto"/>
              <w:rPr>
                <w:rFonts w:hint="default" w:eastAsia="等线"/>
                <w:color w:val="auto"/>
                <w:szCs w:val="22"/>
                <w:highlight w:val="none"/>
                <w:lang w:val="en-US" w:eastAsia="zh-CN"/>
              </w:rPr>
            </w:pPr>
            <w:r>
              <w:rPr>
                <w:rFonts w:hint="eastAsia" w:eastAsia="等线"/>
                <w:color w:val="auto"/>
                <w:szCs w:val="22"/>
                <w:highlight w:val="none"/>
                <w:lang w:val="en-US" w:eastAsia="zh-CN"/>
              </w:rPr>
              <w:t>0.27</w:t>
            </w:r>
          </w:p>
        </w:tc>
        <w:tc>
          <w:tcPr>
            <w:tcW w:w="830" w:type="dxa"/>
            <w:shd w:val="clear" w:color="auto" w:fill="auto"/>
            <w:vAlign w:val="center"/>
          </w:tcPr>
          <w:p>
            <w:pPr>
              <w:widowControl/>
              <w:spacing w:line="240" w:lineRule="atLeast"/>
              <w:ind w:firstLine="0" w:firstLineChars="0"/>
              <w:jc w:val="center"/>
              <w:rPr>
                <w:rFonts w:hint="default" w:eastAsia="宋体"/>
                <w:color w:val="auto"/>
                <w:highlight w:val="none"/>
                <w:lang w:val="en-US" w:eastAsia="zh-CN"/>
              </w:rPr>
            </w:pPr>
            <w:r>
              <w:rPr>
                <w:rFonts w:hint="eastAsia"/>
                <w:color w:val="auto"/>
                <w:sz w:val="22"/>
                <w:szCs w:val="22"/>
                <w:highlight w:val="none"/>
                <w:lang w:val="en-US" w:eastAsia="zh-CN"/>
              </w:rPr>
              <w:t>610</w:t>
            </w:r>
          </w:p>
        </w:tc>
        <w:tc>
          <w:tcPr>
            <w:tcW w:w="1112" w:type="dxa"/>
            <w:vAlign w:val="center"/>
          </w:tcPr>
          <w:p>
            <w:pPr>
              <w:pStyle w:val="272"/>
              <w:spacing w:line="240" w:lineRule="auto"/>
              <w:rPr>
                <w:color w:val="auto"/>
                <w:highlight w:val="none"/>
              </w:rPr>
            </w:pPr>
            <w:r>
              <w:rPr>
                <w:color w:val="auto"/>
                <w:highlight w:val="none"/>
              </w:rPr>
              <w:t>10年一遇</w:t>
            </w:r>
          </w:p>
        </w:tc>
        <w:tc>
          <w:tcPr>
            <w:tcW w:w="1387" w:type="dxa"/>
            <w:vAlign w:val="center"/>
          </w:tcPr>
          <w:p>
            <w:pPr>
              <w:pStyle w:val="272"/>
              <w:spacing w:line="240" w:lineRule="auto"/>
              <w:rPr>
                <w:rFonts w:hint="default" w:eastAsia="等线"/>
                <w:color w:val="auto"/>
                <w:szCs w:val="22"/>
                <w:highlight w:val="none"/>
                <w:lang w:val="en-US" w:eastAsia="zh-CN"/>
              </w:rPr>
            </w:pPr>
            <w:r>
              <w:rPr>
                <w:rFonts w:hint="eastAsia" w:eastAsia="等线"/>
                <w:color w:val="auto"/>
                <w:szCs w:val="22"/>
                <w:highlight w:val="none"/>
                <w:lang w:val="en-US" w:eastAsia="zh-CN"/>
              </w:rPr>
              <w:t>3.64</w:t>
            </w:r>
          </w:p>
        </w:tc>
        <w:tc>
          <w:tcPr>
            <w:tcW w:w="1662" w:type="dxa"/>
            <w:shd w:val="clear" w:color="auto" w:fill="auto"/>
            <w:vAlign w:val="center"/>
          </w:tcPr>
          <w:p>
            <w:pPr>
              <w:pStyle w:val="272"/>
              <w:spacing w:line="240" w:lineRule="auto"/>
              <w:rPr>
                <w:rFonts w:hint="eastAsia" w:eastAsia="宋体"/>
                <w:color w:val="auto"/>
                <w:highlight w:val="none"/>
                <w:lang w:eastAsia="zh-CN"/>
              </w:rPr>
            </w:pPr>
            <w:r>
              <w:rPr>
                <w:rFonts w:hint="eastAsia"/>
                <w:color w:val="auto"/>
                <w:highlight w:val="none"/>
                <w:lang w:eastAsia="zh-CN"/>
              </w:rPr>
              <w:t>拆除重建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640" w:type="dxa"/>
            <w:shd w:val="clear" w:color="auto" w:fill="auto"/>
            <w:vAlign w:val="center"/>
          </w:tcPr>
          <w:p>
            <w:pPr>
              <w:pStyle w:val="272"/>
              <w:spacing w:line="240" w:lineRule="auto"/>
              <w:ind w:firstLine="0" w:firstLineChars="0"/>
              <w:rPr>
                <w:rFonts w:hint="eastAsia"/>
                <w:color w:val="auto"/>
                <w:highlight w:val="none"/>
                <w:lang w:val="en-US" w:eastAsia="zh-CN"/>
              </w:rPr>
            </w:pPr>
            <w:r>
              <w:rPr>
                <w:rFonts w:hint="eastAsia"/>
                <w:color w:val="auto"/>
                <w:highlight w:val="none"/>
                <w:lang w:val="en-US" w:eastAsia="zh-CN"/>
              </w:rPr>
              <w:t>2#</w:t>
            </w:r>
            <w:r>
              <w:rPr>
                <w:color w:val="auto"/>
                <w:highlight w:val="none"/>
              </w:rPr>
              <w:t>泄洪闸</w:t>
            </w:r>
          </w:p>
        </w:tc>
        <w:tc>
          <w:tcPr>
            <w:tcW w:w="1132" w:type="dxa"/>
            <w:shd w:val="clear" w:color="auto" w:fill="auto"/>
            <w:vAlign w:val="center"/>
          </w:tcPr>
          <w:p>
            <w:pPr>
              <w:pStyle w:val="272"/>
              <w:spacing w:line="240" w:lineRule="auto"/>
              <w:ind w:firstLine="0" w:firstLineChars="0"/>
              <w:rPr>
                <w:rFonts w:hint="eastAsia"/>
                <w:color w:val="auto"/>
                <w:highlight w:val="none"/>
                <w:lang w:val="en-US" w:eastAsia="zh-CN"/>
              </w:rPr>
            </w:pPr>
            <w:r>
              <w:rPr>
                <w:rFonts w:hint="eastAsia"/>
                <w:color w:val="auto"/>
                <w:highlight w:val="none"/>
                <w:lang w:val="en-US" w:eastAsia="zh-CN"/>
              </w:rPr>
              <w:t>0+100</w:t>
            </w:r>
          </w:p>
        </w:tc>
        <w:tc>
          <w:tcPr>
            <w:tcW w:w="1014" w:type="dxa"/>
            <w:shd w:val="clear" w:color="auto" w:fill="auto"/>
            <w:vAlign w:val="center"/>
          </w:tcPr>
          <w:p>
            <w:pPr>
              <w:pStyle w:val="272"/>
              <w:spacing w:line="240" w:lineRule="auto"/>
              <w:ind w:firstLine="0" w:firstLineChars="0"/>
              <w:rPr>
                <w:rFonts w:hint="default" w:eastAsia="等线"/>
                <w:color w:val="auto"/>
                <w:szCs w:val="22"/>
                <w:highlight w:val="none"/>
                <w:lang w:val="en-US" w:eastAsia="zh-CN"/>
              </w:rPr>
            </w:pPr>
            <w:r>
              <w:rPr>
                <w:rFonts w:hint="eastAsia" w:eastAsia="等线"/>
                <w:color w:val="auto"/>
                <w:szCs w:val="22"/>
                <w:highlight w:val="none"/>
                <w:lang w:val="en-US" w:eastAsia="zh-CN"/>
              </w:rPr>
              <w:t>0.17</w:t>
            </w:r>
          </w:p>
        </w:tc>
        <w:tc>
          <w:tcPr>
            <w:tcW w:w="830" w:type="dxa"/>
            <w:shd w:val="clear" w:color="auto" w:fill="auto"/>
            <w:vAlign w:val="center"/>
          </w:tcPr>
          <w:p>
            <w:pPr>
              <w:widowControl/>
              <w:spacing w:line="240" w:lineRule="atLeast"/>
              <w:ind w:firstLine="0" w:firstLineChars="0"/>
              <w:jc w:val="center"/>
              <w:rPr>
                <w:rFonts w:hint="default"/>
                <w:color w:val="auto"/>
                <w:sz w:val="22"/>
                <w:szCs w:val="22"/>
                <w:highlight w:val="none"/>
                <w:lang w:val="en-US" w:eastAsia="zh-CN"/>
              </w:rPr>
            </w:pPr>
            <w:r>
              <w:rPr>
                <w:rFonts w:hint="eastAsia"/>
                <w:color w:val="auto"/>
                <w:sz w:val="22"/>
                <w:szCs w:val="22"/>
                <w:highlight w:val="none"/>
                <w:lang w:val="en-US" w:eastAsia="zh-CN"/>
              </w:rPr>
              <w:t>100</w:t>
            </w:r>
          </w:p>
        </w:tc>
        <w:tc>
          <w:tcPr>
            <w:tcW w:w="1112" w:type="dxa"/>
            <w:vAlign w:val="center"/>
          </w:tcPr>
          <w:p>
            <w:pPr>
              <w:pStyle w:val="272"/>
              <w:spacing w:line="240" w:lineRule="auto"/>
              <w:ind w:firstLine="0" w:firstLineChars="0"/>
              <w:rPr>
                <w:color w:val="auto"/>
                <w:highlight w:val="none"/>
              </w:rPr>
            </w:pPr>
            <w:r>
              <w:rPr>
                <w:color w:val="auto"/>
                <w:highlight w:val="none"/>
              </w:rPr>
              <w:t>10年一遇</w:t>
            </w:r>
          </w:p>
        </w:tc>
        <w:tc>
          <w:tcPr>
            <w:tcW w:w="1387" w:type="dxa"/>
            <w:vAlign w:val="center"/>
          </w:tcPr>
          <w:p>
            <w:pPr>
              <w:pStyle w:val="272"/>
              <w:spacing w:line="240" w:lineRule="auto"/>
              <w:ind w:firstLine="0" w:firstLineChars="0"/>
              <w:rPr>
                <w:rFonts w:hint="default" w:eastAsia="等线"/>
                <w:color w:val="auto"/>
                <w:szCs w:val="22"/>
                <w:highlight w:val="none"/>
                <w:lang w:val="en-US" w:eastAsia="zh-CN"/>
              </w:rPr>
            </w:pPr>
            <w:r>
              <w:rPr>
                <w:rFonts w:hint="eastAsia" w:eastAsia="等线"/>
                <w:color w:val="auto"/>
                <w:szCs w:val="22"/>
                <w:highlight w:val="none"/>
                <w:lang w:val="en-US" w:eastAsia="zh-CN"/>
              </w:rPr>
              <w:t>2.21</w:t>
            </w:r>
          </w:p>
        </w:tc>
        <w:tc>
          <w:tcPr>
            <w:tcW w:w="1662" w:type="dxa"/>
            <w:shd w:val="clear" w:color="auto" w:fill="auto"/>
            <w:vAlign w:val="center"/>
          </w:tcPr>
          <w:p>
            <w:pPr>
              <w:pStyle w:val="272"/>
              <w:spacing w:line="240" w:lineRule="auto"/>
              <w:ind w:firstLine="0" w:firstLineChars="0"/>
              <w:rPr>
                <w:rFonts w:hint="eastAsia"/>
                <w:color w:val="auto"/>
                <w:highlight w:val="none"/>
                <w:lang w:eastAsia="zh-CN"/>
              </w:rPr>
            </w:pPr>
            <w:r>
              <w:rPr>
                <w:rFonts w:hint="eastAsia"/>
                <w:color w:val="auto"/>
                <w:highlight w:val="none"/>
                <w:lang w:eastAsia="zh-CN"/>
              </w:rPr>
              <w:t>拆除重建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640" w:type="dxa"/>
            <w:shd w:val="clear" w:color="auto" w:fill="auto"/>
            <w:vAlign w:val="center"/>
          </w:tcPr>
          <w:p>
            <w:pPr>
              <w:pStyle w:val="272"/>
              <w:spacing w:line="240" w:lineRule="auto"/>
              <w:rPr>
                <w:rFonts w:hint="eastAsia" w:eastAsia="宋体"/>
                <w:color w:val="auto"/>
                <w:highlight w:val="none"/>
                <w:lang w:eastAsia="zh-CN"/>
              </w:rPr>
            </w:pPr>
            <w:r>
              <w:rPr>
                <w:rFonts w:hint="eastAsia"/>
                <w:color w:val="auto"/>
                <w:highlight w:val="none"/>
                <w:lang w:val="en-US" w:eastAsia="zh-CN"/>
              </w:rPr>
              <w:t>3#</w:t>
            </w:r>
            <w:r>
              <w:rPr>
                <w:rFonts w:hint="eastAsia"/>
                <w:color w:val="auto"/>
                <w:highlight w:val="none"/>
                <w:lang w:eastAsia="zh-CN"/>
              </w:rPr>
              <w:t>泄洪闸</w:t>
            </w:r>
          </w:p>
        </w:tc>
        <w:tc>
          <w:tcPr>
            <w:tcW w:w="1132" w:type="dxa"/>
            <w:shd w:val="clear" w:color="auto" w:fill="auto"/>
            <w:vAlign w:val="center"/>
          </w:tcPr>
          <w:p>
            <w:pPr>
              <w:pStyle w:val="272"/>
              <w:spacing w:line="240" w:lineRule="auto"/>
              <w:rPr>
                <w:rFonts w:hint="default" w:eastAsia="宋体"/>
                <w:color w:val="auto"/>
                <w:highlight w:val="none"/>
                <w:lang w:val="en-US" w:eastAsia="zh-CN"/>
              </w:rPr>
            </w:pPr>
            <w:r>
              <w:rPr>
                <w:rFonts w:hint="eastAsia"/>
                <w:color w:val="auto"/>
                <w:highlight w:val="none"/>
                <w:lang w:val="en-US" w:eastAsia="zh-CN"/>
              </w:rPr>
              <w:t>1+000</w:t>
            </w:r>
          </w:p>
        </w:tc>
        <w:tc>
          <w:tcPr>
            <w:tcW w:w="1014" w:type="dxa"/>
            <w:shd w:val="clear" w:color="auto" w:fill="auto"/>
            <w:vAlign w:val="center"/>
          </w:tcPr>
          <w:p>
            <w:pPr>
              <w:pStyle w:val="272"/>
              <w:spacing w:line="240" w:lineRule="auto"/>
              <w:rPr>
                <w:rFonts w:hint="default" w:eastAsia="等线"/>
                <w:color w:val="auto"/>
                <w:szCs w:val="22"/>
                <w:highlight w:val="none"/>
                <w:lang w:val="en-US" w:eastAsia="zh-CN"/>
              </w:rPr>
            </w:pPr>
            <w:r>
              <w:rPr>
                <w:rFonts w:hint="eastAsia" w:eastAsia="等线"/>
                <w:color w:val="auto"/>
                <w:szCs w:val="22"/>
                <w:highlight w:val="none"/>
                <w:lang w:val="en-US" w:eastAsia="zh-CN"/>
              </w:rPr>
              <w:t>0.24</w:t>
            </w:r>
          </w:p>
        </w:tc>
        <w:tc>
          <w:tcPr>
            <w:tcW w:w="830" w:type="dxa"/>
            <w:shd w:val="clear" w:color="auto" w:fill="auto"/>
            <w:vAlign w:val="center"/>
          </w:tcPr>
          <w:p>
            <w:pPr>
              <w:widowControl/>
              <w:spacing w:line="240" w:lineRule="atLeast"/>
              <w:ind w:firstLine="0" w:firstLineChars="0"/>
              <w:jc w:val="center"/>
              <w:rPr>
                <w:rFonts w:hint="default" w:eastAsia="宋体"/>
                <w:color w:val="auto"/>
                <w:highlight w:val="none"/>
                <w:lang w:val="en-US" w:eastAsia="zh-CN"/>
              </w:rPr>
            </w:pPr>
            <w:r>
              <w:rPr>
                <w:rFonts w:hint="eastAsia"/>
                <w:color w:val="auto"/>
                <w:sz w:val="21"/>
                <w:szCs w:val="20"/>
                <w:highlight w:val="none"/>
                <w:lang w:val="en-US" w:eastAsia="zh-CN"/>
              </w:rPr>
              <w:t>900</w:t>
            </w:r>
          </w:p>
        </w:tc>
        <w:tc>
          <w:tcPr>
            <w:tcW w:w="1112" w:type="dxa"/>
            <w:vAlign w:val="center"/>
          </w:tcPr>
          <w:p>
            <w:pPr>
              <w:pStyle w:val="272"/>
              <w:spacing w:line="240" w:lineRule="auto"/>
              <w:rPr>
                <w:color w:val="auto"/>
                <w:highlight w:val="none"/>
              </w:rPr>
            </w:pPr>
            <w:r>
              <w:rPr>
                <w:color w:val="auto"/>
                <w:highlight w:val="none"/>
              </w:rPr>
              <w:t>10年一遇</w:t>
            </w:r>
          </w:p>
        </w:tc>
        <w:tc>
          <w:tcPr>
            <w:tcW w:w="1387" w:type="dxa"/>
            <w:vAlign w:val="center"/>
          </w:tcPr>
          <w:p>
            <w:pPr>
              <w:pStyle w:val="272"/>
              <w:spacing w:line="240" w:lineRule="auto"/>
              <w:rPr>
                <w:rFonts w:hint="default" w:eastAsia="等线"/>
                <w:color w:val="auto"/>
                <w:szCs w:val="22"/>
                <w:highlight w:val="none"/>
                <w:lang w:val="en-US" w:eastAsia="zh-CN"/>
              </w:rPr>
            </w:pPr>
            <w:r>
              <w:rPr>
                <w:rFonts w:hint="eastAsia" w:eastAsia="等线"/>
                <w:color w:val="auto"/>
                <w:szCs w:val="22"/>
                <w:highlight w:val="none"/>
                <w:lang w:val="en-US" w:eastAsia="zh-CN"/>
              </w:rPr>
              <w:t>3.12</w:t>
            </w:r>
          </w:p>
        </w:tc>
        <w:tc>
          <w:tcPr>
            <w:tcW w:w="1662" w:type="dxa"/>
            <w:shd w:val="clear" w:color="auto" w:fill="auto"/>
            <w:vAlign w:val="center"/>
          </w:tcPr>
          <w:p>
            <w:pPr>
              <w:pStyle w:val="272"/>
              <w:spacing w:line="240" w:lineRule="auto"/>
              <w:rPr>
                <w:color w:val="auto"/>
                <w:highlight w:val="none"/>
              </w:rPr>
            </w:pPr>
            <w:r>
              <w:rPr>
                <w:rFonts w:hint="eastAsia"/>
                <w:color w:val="auto"/>
                <w:highlight w:val="none"/>
                <w:lang w:eastAsia="zh-CN"/>
              </w:rPr>
              <w:t>新</w:t>
            </w:r>
            <w:r>
              <w:rPr>
                <w:rFonts w:hint="eastAsia"/>
                <w:color w:val="auto"/>
                <w:highlight w:val="none"/>
              </w:rPr>
              <w:t>建</w:t>
            </w:r>
          </w:p>
        </w:tc>
      </w:tr>
    </w:tbl>
    <w:p>
      <w:pPr>
        <w:pStyle w:val="335"/>
        <w:spacing w:before="120" w:after="120"/>
        <w:rPr>
          <w:color w:val="auto"/>
          <w:highlight w:val="none"/>
        </w:rPr>
      </w:pPr>
      <w:r>
        <w:rPr>
          <w:rFonts w:hint="eastAsia"/>
          <w:color w:val="auto"/>
          <w:highlight w:val="none"/>
        </w:rPr>
        <w:t>1.2.</w:t>
      </w:r>
      <w:r>
        <w:rPr>
          <w:rFonts w:hint="eastAsia"/>
          <w:color w:val="auto"/>
          <w:highlight w:val="none"/>
          <w:lang w:val="en-US" w:eastAsia="zh-CN"/>
        </w:rPr>
        <w:t>4</w:t>
      </w:r>
      <w:r>
        <w:rPr>
          <w:rFonts w:hint="eastAsia"/>
          <w:color w:val="auto"/>
          <w:highlight w:val="none"/>
        </w:rPr>
        <w:t xml:space="preserve"> </w:t>
      </w:r>
      <w:r>
        <w:rPr>
          <w:rFonts w:hint="eastAsia"/>
          <w:color w:val="auto"/>
          <w:highlight w:val="none"/>
          <w:lang w:eastAsia="zh-CN"/>
        </w:rPr>
        <w:t>施工期</w:t>
      </w:r>
      <w:r>
        <w:rPr>
          <w:color w:val="auto"/>
          <w:highlight w:val="none"/>
        </w:rPr>
        <w:t>洪水</w:t>
      </w:r>
    </w:p>
    <w:p>
      <w:pPr>
        <w:ind w:firstLine="480"/>
        <w:rPr>
          <w:rFonts w:hint="eastAsia"/>
          <w:color w:val="auto"/>
          <w:highlight w:val="none"/>
        </w:rPr>
      </w:pPr>
      <w:r>
        <w:rPr>
          <w:rFonts w:hint="eastAsia"/>
          <w:color w:val="auto"/>
          <w:highlight w:val="none"/>
        </w:rPr>
        <w:t>根据《灌溉与排水工程设计标准》（GB50288-2018），《水利水电工程等级划分及洪水标准》（SL252-2017），灌溉渠道等级与灌溉设计流量相关，根据渠道各段灌溉设计流量，</w:t>
      </w:r>
      <w:r>
        <w:rPr>
          <w:rFonts w:hint="eastAsia"/>
          <w:color w:val="auto"/>
          <w:highlight w:val="none"/>
          <w:lang w:eastAsia="zh-CN"/>
        </w:rPr>
        <w:t>南大水库灌区</w:t>
      </w:r>
      <w:r>
        <w:rPr>
          <w:rFonts w:hint="eastAsia"/>
          <w:color w:val="auto"/>
          <w:highlight w:val="none"/>
        </w:rPr>
        <w:t>干渠全段为5级渠道。因此，施工期临时建筑物级别为5级，施工期洪水标准均取5年一遇</w:t>
      </w:r>
      <w:r>
        <w:rPr>
          <w:rFonts w:hint="eastAsia"/>
          <w:color w:val="auto"/>
          <w:highlight w:val="none"/>
          <w:lang w:eastAsia="zh-CN"/>
        </w:rPr>
        <w:t>，本工程施工期设计洪水计算</w:t>
      </w:r>
      <w:r>
        <w:rPr>
          <w:rFonts w:hint="eastAsia"/>
          <w:color w:val="auto"/>
          <w:highlight w:val="none"/>
        </w:rPr>
        <w:t>成果见下表：</w:t>
      </w:r>
    </w:p>
    <w:p>
      <w:pPr>
        <w:pStyle w:val="264"/>
        <w:numPr>
          <w:ilvl w:val="4"/>
          <w:numId w:val="0"/>
        </w:numPr>
        <w:jc w:val="center"/>
        <w:rPr>
          <w:rFonts w:ascii="宋体" w:hAnsi="宋体" w:eastAsia="黑体"/>
          <w:b w:val="0"/>
          <w:color w:val="auto"/>
          <w:highlight w:val="none"/>
        </w:rPr>
      </w:pPr>
      <w:r>
        <w:rPr>
          <w:rFonts w:hint="eastAsia" w:ascii="宋体" w:hAnsi="宋体" w:eastAsia="黑体"/>
          <w:b w:val="0"/>
          <w:color w:val="auto"/>
          <w:highlight w:val="none"/>
          <w:lang w:eastAsia="zh-CN"/>
        </w:rPr>
        <w:t>表</w:t>
      </w:r>
      <w:r>
        <w:rPr>
          <w:rFonts w:hint="eastAsia" w:ascii="宋体" w:hAnsi="宋体" w:eastAsia="黑体"/>
          <w:b w:val="0"/>
          <w:color w:val="auto"/>
          <w:highlight w:val="none"/>
          <w:lang w:val="en-US" w:eastAsia="zh-CN"/>
        </w:rPr>
        <w:t xml:space="preserve">1-2 </w:t>
      </w:r>
      <w:r>
        <w:rPr>
          <w:rFonts w:hint="eastAsia" w:ascii="宋体" w:hAnsi="宋体" w:eastAsia="黑体"/>
          <w:b w:val="0"/>
          <w:color w:val="auto"/>
          <w:highlight w:val="none"/>
        </w:rPr>
        <w:t>施工期</w:t>
      </w:r>
      <w:r>
        <w:rPr>
          <w:rFonts w:ascii="宋体" w:hAnsi="宋体" w:eastAsia="黑体"/>
          <w:b w:val="0"/>
          <w:color w:val="auto"/>
          <w:highlight w:val="none"/>
        </w:rPr>
        <w:t>设计</w:t>
      </w:r>
      <w:r>
        <w:rPr>
          <w:rFonts w:hint="eastAsia" w:ascii="宋体" w:hAnsi="宋体" w:eastAsia="黑体"/>
          <w:b w:val="0"/>
          <w:color w:val="auto"/>
          <w:highlight w:val="none"/>
        </w:rPr>
        <w:t>洪水</w:t>
      </w:r>
      <w:r>
        <w:rPr>
          <w:rFonts w:ascii="宋体" w:hAnsi="宋体" w:eastAsia="黑体"/>
          <w:b w:val="0"/>
          <w:color w:val="auto"/>
          <w:highlight w:val="none"/>
        </w:rPr>
        <w:t>计算成果</w:t>
      </w:r>
    </w:p>
    <w:tbl>
      <w:tblPr>
        <w:tblStyle w:val="47"/>
        <w:tblW w:w="87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22"/>
        <w:gridCol w:w="1057"/>
        <w:gridCol w:w="1752"/>
        <w:gridCol w:w="1425"/>
        <w:gridCol w:w="1107"/>
        <w:gridCol w:w="15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jc w:val="center"/>
        </w:trPr>
        <w:tc>
          <w:tcPr>
            <w:tcW w:w="1922" w:type="dxa"/>
            <w:shd w:val="clear" w:color="auto" w:fill="auto"/>
            <w:vAlign w:val="center"/>
          </w:tcPr>
          <w:p>
            <w:pPr>
              <w:pStyle w:val="272"/>
              <w:spacing w:line="240" w:lineRule="auto"/>
              <w:rPr>
                <w:color w:val="auto"/>
                <w:highlight w:val="none"/>
              </w:rPr>
            </w:pPr>
            <w:r>
              <w:rPr>
                <w:color w:val="auto"/>
                <w:highlight w:val="none"/>
              </w:rPr>
              <w:t>水闸名称</w:t>
            </w:r>
          </w:p>
        </w:tc>
        <w:tc>
          <w:tcPr>
            <w:tcW w:w="1057" w:type="dxa"/>
            <w:shd w:val="clear" w:color="auto" w:fill="auto"/>
            <w:vAlign w:val="center"/>
          </w:tcPr>
          <w:p>
            <w:pPr>
              <w:pStyle w:val="272"/>
              <w:spacing w:line="240" w:lineRule="auto"/>
              <w:ind w:firstLine="0" w:firstLineChars="0"/>
              <w:rPr>
                <w:color w:val="auto"/>
                <w:highlight w:val="none"/>
              </w:rPr>
            </w:pPr>
            <w:r>
              <w:rPr>
                <w:color w:val="auto"/>
                <w:highlight w:val="none"/>
              </w:rPr>
              <w:t>所在桩号</w:t>
            </w:r>
          </w:p>
        </w:tc>
        <w:tc>
          <w:tcPr>
            <w:tcW w:w="1752" w:type="dxa"/>
            <w:shd w:val="clear" w:color="auto" w:fill="auto"/>
            <w:vAlign w:val="center"/>
          </w:tcPr>
          <w:p>
            <w:pPr>
              <w:pStyle w:val="272"/>
              <w:spacing w:line="240" w:lineRule="auto"/>
              <w:rPr>
                <w:color w:val="auto"/>
                <w:highlight w:val="none"/>
              </w:rPr>
            </w:pPr>
            <w:r>
              <w:rPr>
                <w:color w:val="auto"/>
                <w:highlight w:val="none"/>
              </w:rPr>
              <w:t>集雨面积</w:t>
            </w:r>
          </w:p>
          <w:p>
            <w:pPr>
              <w:pStyle w:val="272"/>
              <w:spacing w:line="240" w:lineRule="auto"/>
              <w:rPr>
                <w:color w:val="auto"/>
                <w:highlight w:val="none"/>
              </w:rPr>
            </w:pPr>
            <w:r>
              <w:rPr>
                <w:rFonts w:hint="eastAsia"/>
                <w:color w:val="auto"/>
                <w:highlight w:val="none"/>
              </w:rPr>
              <w:t>(</w:t>
            </w:r>
            <w:r>
              <w:rPr>
                <w:color w:val="auto"/>
                <w:highlight w:val="none"/>
              </w:rPr>
              <w:t>k</w:t>
            </w:r>
            <w:r>
              <w:rPr>
                <w:rFonts w:hint="eastAsia"/>
                <w:color w:val="auto"/>
                <w:highlight w:val="none"/>
                <w:lang w:eastAsia="zh-CN"/>
              </w:rPr>
              <w:t>m²</w:t>
            </w:r>
            <w:r>
              <w:rPr>
                <w:color w:val="auto"/>
                <w:highlight w:val="none"/>
              </w:rPr>
              <w:t>)</w:t>
            </w:r>
          </w:p>
        </w:tc>
        <w:tc>
          <w:tcPr>
            <w:tcW w:w="1425" w:type="dxa"/>
            <w:shd w:val="clear" w:color="auto" w:fill="auto"/>
            <w:vAlign w:val="center"/>
          </w:tcPr>
          <w:p>
            <w:pPr>
              <w:pStyle w:val="272"/>
              <w:spacing w:line="240" w:lineRule="auto"/>
              <w:rPr>
                <w:rFonts w:hint="eastAsia"/>
                <w:color w:val="auto"/>
                <w:highlight w:val="none"/>
              </w:rPr>
            </w:pPr>
            <w:r>
              <w:rPr>
                <w:rFonts w:hint="eastAsia"/>
                <w:color w:val="auto"/>
                <w:highlight w:val="none"/>
              </w:rPr>
              <w:t>特征河长</w:t>
            </w:r>
          </w:p>
          <w:p>
            <w:pPr>
              <w:pStyle w:val="272"/>
              <w:spacing w:line="240" w:lineRule="auto"/>
              <w:rPr>
                <w:color w:val="auto"/>
                <w:highlight w:val="none"/>
              </w:rPr>
            </w:pPr>
            <w:r>
              <w:rPr>
                <w:rFonts w:hint="eastAsia"/>
                <w:color w:val="auto"/>
                <w:highlight w:val="none"/>
              </w:rPr>
              <w:t>(</w:t>
            </w:r>
            <w:r>
              <w:rPr>
                <w:color w:val="auto"/>
                <w:highlight w:val="none"/>
              </w:rPr>
              <w:t>m)</w:t>
            </w:r>
          </w:p>
        </w:tc>
        <w:tc>
          <w:tcPr>
            <w:tcW w:w="1107" w:type="dxa"/>
            <w:vAlign w:val="center"/>
          </w:tcPr>
          <w:p>
            <w:pPr>
              <w:pStyle w:val="272"/>
              <w:spacing w:line="240" w:lineRule="auto"/>
              <w:rPr>
                <w:color w:val="auto"/>
                <w:highlight w:val="none"/>
              </w:rPr>
            </w:pPr>
            <w:r>
              <w:rPr>
                <w:rFonts w:hint="eastAsia"/>
                <w:color w:val="auto"/>
                <w:highlight w:val="none"/>
              </w:rPr>
              <w:t>设计</w:t>
            </w:r>
            <w:r>
              <w:rPr>
                <w:color w:val="auto"/>
                <w:highlight w:val="none"/>
              </w:rPr>
              <w:t>标准</w:t>
            </w:r>
          </w:p>
        </w:tc>
        <w:tc>
          <w:tcPr>
            <w:tcW w:w="1514" w:type="dxa"/>
            <w:vAlign w:val="center"/>
          </w:tcPr>
          <w:p>
            <w:pPr>
              <w:pStyle w:val="272"/>
              <w:spacing w:line="240" w:lineRule="auto"/>
              <w:rPr>
                <w:color w:val="auto"/>
                <w:highlight w:val="none"/>
              </w:rPr>
            </w:pPr>
            <w:r>
              <w:rPr>
                <w:color w:val="auto"/>
                <w:highlight w:val="none"/>
              </w:rPr>
              <w:t>设计洪峰</w:t>
            </w:r>
          </w:p>
          <w:p>
            <w:pPr>
              <w:pStyle w:val="272"/>
              <w:spacing w:line="240" w:lineRule="auto"/>
              <w:rPr>
                <w:color w:val="auto"/>
                <w:highlight w:val="none"/>
              </w:rPr>
            </w:pPr>
            <w:r>
              <w:rPr>
                <w:rFonts w:hint="eastAsia"/>
                <w:color w:val="auto"/>
                <w:highlight w:val="none"/>
              </w:rPr>
              <w:t>(</w:t>
            </w:r>
            <w:r>
              <w:rPr>
                <w:rFonts w:hint="eastAsia"/>
                <w:color w:val="auto"/>
                <w:highlight w:val="none"/>
                <w:lang w:eastAsia="zh-CN"/>
              </w:rPr>
              <w:t>m³</w:t>
            </w:r>
            <w:r>
              <w:rPr>
                <w:color w:val="auto"/>
                <w:highlight w:val="none"/>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922" w:type="dxa"/>
            <w:shd w:val="clear" w:color="auto" w:fill="auto"/>
            <w:vAlign w:val="center"/>
          </w:tcPr>
          <w:p>
            <w:pPr>
              <w:pStyle w:val="272"/>
              <w:spacing w:line="240" w:lineRule="auto"/>
              <w:ind w:firstLine="0" w:firstLineChars="0"/>
              <w:rPr>
                <w:color w:val="auto"/>
                <w:highlight w:val="none"/>
              </w:rPr>
            </w:pPr>
            <w:r>
              <w:rPr>
                <w:rFonts w:hint="eastAsia"/>
                <w:color w:val="auto"/>
                <w:highlight w:val="none"/>
                <w:lang w:val="en-US" w:eastAsia="zh-CN"/>
              </w:rPr>
              <w:t>1#</w:t>
            </w:r>
            <w:r>
              <w:rPr>
                <w:color w:val="auto"/>
                <w:highlight w:val="none"/>
              </w:rPr>
              <w:t>泄洪闸</w:t>
            </w:r>
          </w:p>
        </w:tc>
        <w:tc>
          <w:tcPr>
            <w:tcW w:w="1057" w:type="dxa"/>
            <w:shd w:val="clear" w:color="auto" w:fill="auto"/>
            <w:vAlign w:val="center"/>
          </w:tcPr>
          <w:p>
            <w:pPr>
              <w:pStyle w:val="272"/>
              <w:spacing w:line="240" w:lineRule="auto"/>
              <w:ind w:firstLine="0" w:firstLineChars="0"/>
              <w:rPr>
                <w:color w:val="auto"/>
                <w:highlight w:val="none"/>
              </w:rPr>
            </w:pPr>
            <w:r>
              <w:rPr>
                <w:rFonts w:hint="eastAsia"/>
                <w:color w:val="auto"/>
                <w:highlight w:val="none"/>
                <w:lang w:val="en-US" w:eastAsia="zh-CN"/>
              </w:rPr>
              <w:t>0+005</w:t>
            </w:r>
          </w:p>
        </w:tc>
        <w:tc>
          <w:tcPr>
            <w:tcW w:w="1752" w:type="dxa"/>
            <w:shd w:val="clear" w:color="auto" w:fill="auto"/>
            <w:vAlign w:val="center"/>
          </w:tcPr>
          <w:p>
            <w:pPr>
              <w:pStyle w:val="272"/>
              <w:spacing w:line="240" w:lineRule="auto"/>
              <w:ind w:firstLine="0" w:firstLineChars="0"/>
              <w:rPr>
                <w:rFonts w:hint="default" w:eastAsia="等线"/>
                <w:color w:val="auto"/>
                <w:szCs w:val="22"/>
                <w:highlight w:val="none"/>
                <w:lang w:val="en-US"/>
              </w:rPr>
            </w:pPr>
            <w:r>
              <w:rPr>
                <w:rFonts w:hint="eastAsia" w:eastAsia="等线"/>
                <w:color w:val="auto"/>
                <w:szCs w:val="22"/>
                <w:highlight w:val="none"/>
                <w:lang w:val="en-US" w:eastAsia="zh-CN"/>
              </w:rPr>
              <w:t>0.27</w:t>
            </w:r>
          </w:p>
        </w:tc>
        <w:tc>
          <w:tcPr>
            <w:tcW w:w="1425" w:type="dxa"/>
            <w:shd w:val="clear" w:color="auto" w:fill="auto"/>
            <w:vAlign w:val="center"/>
          </w:tcPr>
          <w:p>
            <w:pPr>
              <w:widowControl/>
              <w:spacing w:line="240" w:lineRule="atLeast"/>
              <w:ind w:firstLine="0" w:firstLineChars="0"/>
              <w:jc w:val="center"/>
              <w:rPr>
                <w:color w:val="auto"/>
                <w:highlight w:val="none"/>
              </w:rPr>
            </w:pPr>
            <w:r>
              <w:rPr>
                <w:rFonts w:hint="eastAsia"/>
                <w:color w:val="auto"/>
                <w:sz w:val="22"/>
                <w:szCs w:val="22"/>
                <w:highlight w:val="none"/>
                <w:lang w:val="en-US" w:eastAsia="zh-CN"/>
              </w:rPr>
              <w:t>610</w:t>
            </w:r>
          </w:p>
        </w:tc>
        <w:tc>
          <w:tcPr>
            <w:tcW w:w="1107" w:type="dxa"/>
            <w:vAlign w:val="center"/>
          </w:tcPr>
          <w:p>
            <w:pPr>
              <w:pStyle w:val="272"/>
              <w:spacing w:line="240" w:lineRule="auto"/>
              <w:rPr>
                <w:color w:val="auto"/>
                <w:highlight w:val="none"/>
              </w:rPr>
            </w:pPr>
            <w:r>
              <w:rPr>
                <w:color w:val="auto"/>
                <w:highlight w:val="none"/>
              </w:rPr>
              <w:t>5年一遇</w:t>
            </w:r>
          </w:p>
        </w:tc>
        <w:tc>
          <w:tcPr>
            <w:tcW w:w="1514" w:type="dxa"/>
            <w:vAlign w:val="center"/>
          </w:tcPr>
          <w:p>
            <w:pPr>
              <w:pStyle w:val="272"/>
              <w:spacing w:line="240" w:lineRule="auto"/>
              <w:rPr>
                <w:rFonts w:hint="default" w:eastAsia="宋体"/>
                <w:color w:val="auto"/>
                <w:highlight w:val="none"/>
                <w:lang w:val="en-US" w:eastAsia="zh-CN"/>
              </w:rPr>
            </w:pPr>
            <w:r>
              <w:rPr>
                <w:rFonts w:hint="eastAsia"/>
                <w:color w:val="auto"/>
                <w:highlight w:val="none"/>
                <w:lang w:val="en-US" w:eastAsia="zh-CN"/>
              </w:rPr>
              <w:t>2.16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jc w:val="center"/>
        </w:trPr>
        <w:tc>
          <w:tcPr>
            <w:tcW w:w="1922" w:type="dxa"/>
            <w:shd w:val="clear" w:color="auto" w:fill="auto"/>
            <w:vAlign w:val="center"/>
          </w:tcPr>
          <w:p>
            <w:pPr>
              <w:pStyle w:val="272"/>
              <w:spacing w:line="240" w:lineRule="auto"/>
              <w:ind w:firstLine="0" w:firstLineChars="0"/>
              <w:rPr>
                <w:rFonts w:hint="eastAsia" w:eastAsia="宋体"/>
                <w:color w:val="auto"/>
                <w:highlight w:val="none"/>
                <w:lang w:eastAsia="zh-CN"/>
              </w:rPr>
            </w:pPr>
            <w:r>
              <w:rPr>
                <w:rFonts w:hint="eastAsia"/>
                <w:color w:val="auto"/>
                <w:highlight w:val="none"/>
                <w:lang w:val="en-US" w:eastAsia="zh-CN"/>
              </w:rPr>
              <w:t>2#</w:t>
            </w:r>
            <w:r>
              <w:rPr>
                <w:rFonts w:hint="eastAsia"/>
                <w:color w:val="auto"/>
                <w:highlight w:val="none"/>
                <w:lang w:eastAsia="zh-CN"/>
              </w:rPr>
              <w:t>泄洪闸</w:t>
            </w:r>
          </w:p>
        </w:tc>
        <w:tc>
          <w:tcPr>
            <w:tcW w:w="1057" w:type="dxa"/>
            <w:shd w:val="clear" w:color="auto" w:fill="auto"/>
            <w:vAlign w:val="center"/>
          </w:tcPr>
          <w:p>
            <w:pPr>
              <w:pStyle w:val="272"/>
              <w:spacing w:line="240" w:lineRule="auto"/>
              <w:ind w:firstLine="0" w:firstLineChars="0"/>
              <w:rPr>
                <w:color w:val="auto"/>
                <w:highlight w:val="none"/>
              </w:rPr>
            </w:pPr>
            <w:r>
              <w:rPr>
                <w:rFonts w:hint="eastAsia"/>
                <w:color w:val="auto"/>
                <w:highlight w:val="none"/>
                <w:lang w:val="en-US" w:eastAsia="zh-CN"/>
              </w:rPr>
              <w:t>0+100</w:t>
            </w:r>
          </w:p>
        </w:tc>
        <w:tc>
          <w:tcPr>
            <w:tcW w:w="1752" w:type="dxa"/>
            <w:shd w:val="clear" w:color="auto" w:fill="auto"/>
            <w:vAlign w:val="center"/>
          </w:tcPr>
          <w:p>
            <w:pPr>
              <w:pStyle w:val="272"/>
              <w:spacing w:line="240" w:lineRule="auto"/>
              <w:ind w:firstLine="0" w:firstLineChars="0"/>
              <w:rPr>
                <w:rFonts w:eastAsia="等线"/>
                <w:color w:val="auto"/>
                <w:szCs w:val="22"/>
                <w:highlight w:val="none"/>
              </w:rPr>
            </w:pPr>
            <w:r>
              <w:rPr>
                <w:rFonts w:hint="eastAsia" w:eastAsia="等线"/>
                <w:color w:val="auto"/>
                <w:szCs w:val="22"/>
                <w:highlight w:val="none"/>
                <w:lang w:val="en-US" w:eastAsia="zh-CN"/>
              </w:rPr>
              <w:t>0.17</w:t>
            </w:r>
          </w:p>
        </w:tc>
        <w:tc>
          <w:tcPr>
            <w:tcW w:w="1425" w:type="dxa"/>
            <w:shd w:val="clear" w:color="auto" w:fill="auto"/>
            <w:vAlign w:val="center"/>
          </w:tcPr>
          <w:p>
            <w:pPr>
              <w:widowControl/>
              <w:spacing w:line="240" w:lineRule="atLeast"/>
              <w:ind w:firstLine="0" w:firstLineChars="0"/>
              <w:jc w:val="center"/>
              <w:rPr>
                <w:rFonts w:hint="default"/>
                <w:color w:val="auto"/>
                <w:highlight w:val="none"/>
                <w:lang w:val="en-US"/>
              </w:rPr>
            </w:pPr>
            <w:r>
              <w:rPr>
                <w:rFonts w:hint="eastAsia"/>
                <w:color w:val="auto"/>
                <w:sz w:val="22"/>
                <w:szCs w:val="22"/>
                <w:highlight w:val="none"/>
                <w:lang w:val="en-US" w:eastAsia="zh-CN"/>
              </w:rPr>
              <w:t>100</w:t>
            </w:r>
          </w:p>
        </w:tc>
        <w:tc>
          <w:tcPr>
            <w:tcW w:w="1107" w:type="dxa"/>
            <w:vAlign w:val="center"/>
          </w:tcPr>
          <w:p>
            <w:pPr>
              <w:pStyle w:val="272"/>
              <w:spacing w:line="240" w:lineRule="auto"/>
              <w:rPr>
                <w:color w:val="auto"/>
                <w:highlight w:val="none"/>
              </w:rPr>
            </w:pPr>
            <w:r>
              <w:rPr>
                <w:color w:val="auto"/>
                <w:highlight w:val="none"/>
              </w:rPr>
              <w:t>5年一遇</w:t>
            </w:r>
          </w:p>
        </w:tc>
        <w:tc>
          <w:tcPr>
            <w:tcW w:w="1514" w:type="dxa"/>
            <w:vAlign w:val="center"/>
          </w:tcPr>
          <w:p>
            <w:pPr>
              <w:pStyle w:val="272"/>
              <w:spacing w:line="240" w:lineRule="auto"/>
              <w:rPr>
                <w:rFonts w:hint="default" w:eastAsia="宋体"/>
                <w:color w:val="auto"/>
                <w:highlight w:val="none"/>
                <w:lang w:val="en-US" w:eastAsia="zh-CN"/>
              </w:rPr>
            </w:pPr>
            <w:r>
              <w:rPr>
                <w:rFonts w:hint="eastAsia"/>
                <w:color w:val="auto"/>
                <w:highlight w:val="none"/>
                <w:lang w:val="en-US" w:eastAsia="zh-CN"/>
              </w:rPr>
              <w:t>1.36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jc w:val="center"/>
        </w:trPr>
        <w:tc>
          <w:tcPr>
            <w:tcW w:w="1922" w:type="dxa"/>
            <w:shd w:val="clear" w:color="auto" w:fill="auto"/>
            <w:vAlign w:val="center"/>
          </w:tcPr>
          <w:p>
            <w:pPr>
              <w:pStyle w:val="272"/>
              <w:spacing w:line="240" w:lineRule="auto"/>
              <w:ind w:firstLine="0" w:firstLineChars="0"/>
              <w:rPr>
                <w:rFonts w:hint="eastAsia" w:eastAsia="宋体"/>
                <w:color w:val="auto"/>
                <w:highlight w:val="none"/>
                <w:lang w:val="en-US" w:eastAsia="zh-CN"/>
              </w:rPr>
            </w:pPr>
            <w:r>
              <w:rPr>
                <w:rFonts w:hint="eastAsia"/>
                <w:color w:val="auto"/>
                <w:highlight w:val="none"/>
                <w:lang w:val="en-US" w:eastAsia="zh-CN"/>
              </w:rPr>
              <w:t>3#</w:t>
            </w:r>
            <w:r>
              <w:rPr>
                <w:rFonts w:hint="eastAsia"/>
                <w:color w:val="auto"/>
                <w:highlight w:val="none"/>
                <w:lang w:eastAsia="zh-CN"/>
              </w:rPr>
              <w:t>泄洪闸</w:t>
            </w:r>
          </w:p>
        </w:tc>
        <w:tc>
          <w:tcPr>
            <w:tcW w:w="1057" w:type="dxa"/>
            <w:shd w:val="clear" w:color="auto" w:fill="auto"/>
            <w:vAlign w:val="center"/>
          </w:tcPr>
          <w:p>
            <w:pPr>
              <w:pStyle w:val="272"/>
              <w:spacing w:line="240" w:lineRule="auto"/>
              <w:ind w:firstLine="0" w:firstLineChars="0"/>
              <w:rPr>
                <w:rFonts w:hint="eastAsia"/>
                <w:color w:val="auto"/>
                <w:highlight w:val="none"/>
                <w:lang w:val="en-US" w:eastAsia="zh-CN"/>
              </w:rPr>
            </w:pPr>
            <w:r>
              <w:rPr>
                <w:rFonts w:hint="eastAsia"/>
                <w:color w:val="auto"/>
                <w:highlight w:val="none"/>
                <w:lang w:val="en-US" w:eastAsia="zh-CN"/>
              </w:rPr>
              <w:t>1+000</w:t>
            </w:r>
          </w:p>
        </w:tc>
        <w:tc>
          <w:tcPr>
            <w:tcW w:w="1752" w:type="dxa"/>
            <w:shd w:val="clear" w:color="auto" w:fill="auto"/>
            <w:vAlign w:val="center"/>
          </w:tcPr>
          <w:p>
            <w:pPr>
              <w:pStyle w:val="272"/>
              <w:spacing w:line="240" w:lineRule="auto"/>
              <w:ind w:firstLine="0" w:firstLineChars="0"/>
              <w:rPr>
                <w:rFonts w:hint="eastAsia" w:eastAsia="等线"/>
                <w:color w:val="auto"/>
                <w:szCs w:val="22"/>
                <w:highlight w:val="none"/>
                <w:lang w:val="en-US" w:eastAsia="zh-CN"/>
              </w:rPr>
            </w:pPr>
            <w:r>
              <w:rPr>
                <w:rFonts w:hint="eastAsia" w:eastAsia="等线"/>
                <w:color w:val="auto"/>
                <w:szCs w:val="22"/>
                <w:highlight w:val="none"/>
                <w:lang w:val="en-US" w:eastAsia="zh-CN"/>
              </w:rPr>
              <w:t>0.24</w:t>
            </w:r>
          </w:p>
        </w:tc>
        <w:tc>
          <w:tcPr>
            <w:tcW w:w="1425" w:type="dxa"/>
            <w:shd w:val="clear" w:color="auto" w:fill="auto"/>
            <w:vAlign w:val="center"/>
          </w:tcPr>
          <w:p>
            <w:pPr>
              <w:widowControl/>
              <w:spacing w:line="240" w:lineRule="atLeast"/>
              <w:ind w:firstLine="0" w:firstLineChars="0"/>
              <w:jc w:val="center"/>
              <w:rPr>
                <w:rFonts w:hint="default"/>
                <w:color w:val="auto"/>
                <w:highlight w:val="none"/>
                <w:lang w:val="en-US" w:eastAsia="zh-CN"/>
              </w:rPr>
            </w:pPr>
            <w:r>
              <w:rPr>
                <w:rFonts w:hint="eastAsia"/>
                <w:color w:val="auto"/>
                <w:sz w:val="21"/>
                <w:szCs w:val="20"/>
                <w:highlight w:val="none"/>
                <w:lang w:val="en-US" w:eastAsia="zh-CN"/>
              </w:rPr>
              <w:t>900</w:t>
            </w:r>
          </w:p>
        </w:tc>
        <w:tc>
          <w:tcPr>
            <w:tcW w:w="1107" w:type="dxa"/>
            <w:vAlign w:val="center"/>
          </w:tcPr>
          <w:p>
            <w:pPr>
              <w:pStyle w:val="272"/>
              <w:spacing w:line="240" w:lineRule="auto"/>
              <w:ind w:firstLine="0" w:firstLineChars="0"/>
              <w:rPr>
                <w:color w:val="auto"/>
                <w:highlight w:val="none"/>
              </w:rPr>
            </w:pPr>
            <w:r>
              <w:rPr>
                <w:color w:val="auto"/>
                <w:highlight w:val="none"/>
              </w:rPr>
              <w:t>5年一遇</w:t>
            </w:r>
          </w:p>
        </w:tc>
        <w:tc>
          <w:tcPr>
            <w:tcW w:w="1514" w:type="dxa"/>
            <w:vAlign w:val="center"/>
          </w:tcPr>
          <w:p>
            <w:pPr>
              <w:pStyle w:val="272"/>
              <w:spacing w:line="240" w:lineRule="auto"/>
              <w:ind w:firstLine="0" w:firstLineChars="0"/>
              <w:rPr>
                <w:rFonts w:hint="default"/>
                <w:color w:val="auto"/>
                <w:highlight w:val="none"/>
                <w:lang w:val="en-US" w:eastAsia="zh-CN"/>
              </w:rPr>
            </w:pPr>
            <w:r>
              <w:rPr>
                <w:rFonts w:hint="eastAsia"/>
                <w:color w:val="auto"/>
                <w:highlight w:val="none"/>
                <w:lang w:val="en-US" w:eastAsia="zh-CN"/>
              </w:rPr>
              <w:t>1.92</w:t>
            </w:r>
          </w:p>
        </w:tc>
      </w:tr>
    </w:tbl>
    <w:p>
      <w:pPr>
        <w:pStyle w:val="3"/>
        <w:rPr>
          <w:color w:val="auto"/>
          <w:highlight w:val="none"/>
        </w:rPr>
      </w:pPr>
      <w:bookmarkStart w:id="35" w:name="_Toc328618575"/>
      <w:bookmarkStart w:id="36" w:name="_Toc322358289"/>
      <w:bookmarkStart w:id="37" w:name="_Toc322093209"/>
      <w:bookmarkStart w:id="38" w:name="_Toc323046803"/>
      <w:bookmarkStart w:id="39" w:name="_Toc25256"/>
      <w:bookmarkStart w:id="40" w:name="_Toc536295014"/>
      <w:bookmarkStart w:id="41" w:name="_Toc404766532"/>
      <w:r>
        <w:rPr>
          <w:rFonts w:hint="eastAsia"/>
          <w:color w:val="auto"/>
          <w:highlight w:val="none"/>
        </w:rPr>
        <w:t>1.3 工程地质</w:t>
      </w:r>
      <w:bookmarkEnd w:id="35"/>
      <w:bookmarkEnd w:id="36"/>
      <w:bookmarkEnd w:id="37"/>
      <w:bookmarkEnd w:id="38"/>
      <w:bookmarkEnd w:id="39"/>
      <w:bookmarkEnd w:id="40"/>
      <w:bookmarkEnd w:id="41"/>
    </w:p>
    <w:p>
      <w:pPr>
        <w:pStyle w:val="335"/>
        <w:spacing w:before="120" w:after="120"/>
        <w:rPr>
          <w:color w:val="auto"/>
          <w:highlight w:val="none"/>
        </w:rPr>
      </w:pPr>
      <w:bookmarkStart w:id="42" w:name="_Toc536295015"/>
      <w:r>
        <w:rPr>
          <w:rFonts w:hint="eastAsia"/>
          <w:color w:val="auto"/>
          <w:highlight w:val="none"/>
        </w:rPr>
        <w:t>1.3.1 区域地质</w:t>
      </w:r>
      <w:bookmarkEnd w:id="42"/>
    </w:p>
    <w:p>
      <w:pPr>
        <w:ind w:firstLine="480"/>
        <w:rPr>
          <w:rFonts w:hint="eastAsia"/>
          <w:color w:val="auto"/>
          <w:highlight w:val="none"/>
        </w:rPr>
      </w:pPr>
      <w:r>
        <w:rPr>
          <w:rFonts w:hint="eastAsia"/>
          <w:color w:val="auto"/>
          <w:highlight w:val="none"/>
        </w:rPr>
        <w:t>本区出露地层经钻孔揭露，按岩土层的分布规律以及成因类型，自上而下顺序可分为：</w:t>
      </w:r>
    </w:p>
    <w:p>
      <w:pPr>
        <w:spacing w:line="360" w:lineRule="auto"/>
        <w:ind w:firstLine="480" w:firstLineChars="200"/>
        <w:rPr>
          <w:rFonts w:hint="eastAsia" w:ascii="宋体" w:hAnsi="宋体"/>
          <w:bCs/>
          <w:snapToGrid w:val="0"/>
          <w:color w:val="auto"/>
          <w:kern w:val="44"/>
          <w:sz w:val="24"/>
          <w:highlight w:val="none"/>
        </w:rPr>
      </w:pPr>
      <w:r>
        <w:rPr>
          <w:rFonts w:hint="eastAsia" w:ascii="宋体" w:hAnsi="宋体"/>
          <w:bCs/>
          <w:snapToGrid w:val="0"/>
          <w:color w:val="auto"/>
          <w:kern w:val="44"/>
          <w:sz w:val="24"/>
          <w:highlight w:val="none"/>
        </w:rPr>
        <w:t>1、填土(Q</w:t>
      </w:r>
      <w:r>
        <w:rPr>
          <w:rFonts w:hint="eastAsia" w:ascii="宋体" w:hAnsi="宋体"/>
          <w:bCs/>
          <w:snapToGrid w:val="0"/>
          <w:color w:val="auto"/>
          <w:kern w:val="44"/>
          <w:sz w:val="24"/>
          <w:highlight w:val="none"/>
          <w:vertAlign w:val="subscript"/>
        </w:rPr>
        <w:t>4</w:t>
      </w:r>
      <w:r>
        <w:rPr>
          <w:rFonts w:hint="eastAsia" w:ascii="宋体" w:hAnsi="宋体"/>
          <w:bCs/>
          <w:snapToGrid w:val="0"/>
          <w:color w:val="auto"/>
          <w:kern w:val="44"/>
          <w:sz w:val="24"/>
          <w:highlight w:val="none"/>
          <w:vertAlign w:val="superscript"/>
        </w:rPr>
        <w:t>ml</w:t>
      </w:r>
      <w:r>
        <w:rPr>
          <w:rFonts w:hint="eastAsia" w:ascii="宋体" w:hAnsi="宋体"/>
          <w:bCs/>
          <w:snapToGrid w:val="0"/>
          <w:color w:val="auto"/>
          <w:kern w:val="44"/>
          <w:sz w:val="24"/>
          <w:highlight w:val="none"/>
        </w:rPr>
        <w:t>)：为第①层素填土，为久年人工填筑土。</w:t>
      </w:r>
    </w:p>
    <w:p>
      <w:pPr>
        <w:spacing w:line="360" w:lineRule="auto"/>
        <w:ind w:firstLine="480" w:firstLineChars="200"/>
        <w:rPr>
          <w:rFonts w:hint="eastAsia" w:ascii="宋体" w:hAnsi="宋体"/>
          <w:bCs/>
          <w:snapToGrid w:val="0"/>
          <w:color w:val="auto"/>
          <w:kern w:val="44"/>
          <w:sz w:val="24"/>
          <w:highlight w:val="none"/>
        </w:rPr>
      </w:pPr>
      <w:r>
        <w:rPr>
          <w:rFonts w:hint="eastAsia" w:ascii="宋体" w:hAnsi="宋体"/>
          <w:bCs/>
          <w:snapToGrid w:val="0"/>
          <w:color w:val="auto"/>
          <w:kern w:val="44"/>
          <w:sz w:val="24"/>
          <w:highlight w:val="none"/>
        </w:rPr>
        <w:t>2、第四系</w:t>
      </w:r>
      <w:r>
        <w:rPr>
          <w:rFonts w:hint="eastAsia" w:ascii="宋体" w:hAnsi="宋体"/>
          <w:bCs/>
          <w:snapToGrid w:val="0"/>
          <w:color w:val="auto"/>
          <w:kern w:val="44"/>
          <w:sz w:val="24"/>
          <w:highlight w:val="none"/>
          <w:lang w:val="en-US" w:eastAsia="zh-CN"/>
        </w:rPr>
        <w:t>残</w:t>
      </w:r>
      <w:r>
        <w:rPr>
          <w:rFonts w:hint="eastAsia" w:ascii="宋体" w:hAnsi="宋体"/>
          <w:bCs/>
          <w:snapToGrid w:val="0"/>
          <w:color w:val="auto"/>
          <w:kern w:val="44"/>
          <w:sz w:val="24"/>
          <w:highlight w:val="none"/>
        </w:rPr>
        <w:t>积土</w:t>
      </w:r>
      <w:r>
        <w:rPr>
          <w:rFonts w:ascii="宋体" w:hAnsi="宋体"/>
          <w:bCs/>
          <w:snapToGrid w:val="0"/>
          <w:color w:val="auto"/>
          <w:kern w:val="44"/>
          <w:sz w:val="24"/>
          <w:highlight w:val="none"/>
        </w:rPr>
        <w:t>(Q</w:t>
      </w:r>
      <w:r>
        <w:rPr>
          <w:rFonts w:ascii="宋体" w:hAnsi="宋体"/>
          <w:bCs/>
          <w:snapToGrid w:val="0"/>
          <w:color w:val="auto"/>
          <w:kern w:val="44"/>
          <w:sz w:val="24"/>
          <w:highlight w:val="none"/>
          <w:vertAlign w:val="subscript"/>
        </w:rPr>
        <w:t>4</w:t>
      </w:r>
      <w:r>
        <w:rPr>
          <w:rFonts w:hint="eastAsia" w:ascii="宋体" w:hAnsi="宋体"/>
          <w:bCs/>
          <w:snapToGrid w:val="0"/>
          <w:color w:val="auto"/>
          <w:kern w:val="44"/>
          <w:sz w:val="24"/>
          <w:highlight w:val="none"/>
          <w:vertAlign w:val="superscript"/>
          <w:lang w:val="en-US" w:eastAsia="zh-CN"/>
        </w:rPr>
        <w:t>e</w:t>
      </w:r>
      <w:r>
        <w:rPr>
          <w:rFonts w:ascii="宋体" w:hAnsi="宋体"/>
          <w:bCs/>
          <w:snapToGrid w:val="0"/>
          <w:color w:val="auto"/>
          <w:kern w:val="44"/>
          <w:sz w:val="24"/>
          <w:highlight w:val="none"/>
          <w:vertAlign w:val="superscript"/>
        </w:rPr>
        <w:t>l</w:t>
      </w:r>
      <w:r>
        <w:rPr>
          <w:rFonts w:ascii="宋体" w:hAnsi="宋体"/>
          <w:bCs/>
          <w:snapToGrid w:val="0"/>
          <w:color w:val="auto"/>
          <w:kern w:val="44"/>
          <w:sz w:val="24"/>
          <w:highlight w:val="none"/>
        </w:rPr>
        <w:t>)</w:t>
      </w:r>
      <w:r>
        <w:rPr>
          <w:rFonts w:hint="eastAsia" w:ascii="宋体" w:hAnsi="宋体"/>
          <w:bCs/>
          <w:snapToGrid w:val="0"/>
          <w:color w:val="auto"/>
          <w:kern w:val="44"/>
          <w:sz w:val="24"/>
          <w:highlight w:val="none"/>
        </w:rPr>
        <w:t>：为粉质黏土。</w:t>
      </w:r>
    </w:p>
    <w:p>
      <w:pPr>
        <w:ind w:firstLine="480"/>
        <w:rPr>
          <w:rFonts w:hint="eastAsia"/>
          <w:color w:val="auto"/>
          <w:highlight w:val="none"/>
        </w:rPr>
      </w:pPr>
      <w:r>
        <w:rPr>
          <w:rFonts w:hint="eastAsia"/>
          <w:color w:val="auto"/>
          <w:highlight w:val="none"/>
        </w:rPr>
        <w:t xml:space="preserve"> (1)地层岩性</w:t>
      </w:r>
    </w:p>
    <w:p>
      <w:pPr>
        <w:ind w:firstLine="480"/>
        <w:rPr>
          <w:rFonts w:hint="eastAsia"/>
          <w:color w:val="auto"/>
          <w:highlight w:val="none"/>
        </w:rPr>
      </w:pPr>
      <w:r>
        <w:rPr>
          <w:rFonts w:hint="eastAsia"/>
          <w:color w:val="auto"/>
          <w:highlight w:val="none"/>
        </w:rPr>
        <w:t>经钻探揭示，钻孔控制深度范围内，岩土层自上而下可划分为</w:t>
      </w:r>
      <w:r>
        <w:rPr>
          <w:rFonts w:hint="eastAsia"/>
          <w:color w:val="auto"/>
          <w:highlight w:val="none"/>
          <w:lang w:val="en-US" w:eastAsia="zh-CN"/>
        </w:rPr>
        <w:t>2</w:t>
      </w:r>
      <w:r>
        <w:rPr>
          <w:rFonts w:hint="eastAsia"/>
          <w:color w:val="auto"/>
          <w:highlight w:val="none"/>
        </w:rPr>
        <w:t>个层次，现分述如下：</w:t>
      </w:r>
    </w:p>
    <w:p>
      <w:pPr>
        <w:ind w:firstLine="480"/>
        <w:rPr>
          <w:rFonts w:hint="eastAsia"/>
          <w:color w:val="auto"/>
          <w:highlight w:val="none"/>
        </w:rPr>
      </w:pPr>
      <w:r>
        <w:rPr>
          <w:rFonts w:hint="eastAsia"/>
          <w:color w:val="auto"/>
          <w:highlight w:val="none"/>
        </w:rPr>
        <w:t>填土层：</w:t>
      </w:r>
    </w:p>
    <w:p>
      <w:pPr>
        <w:ind w:firstLine="480"/>
        <w:rPr>
          <w:rFonts w:hint="eastAsia"/>
          <w:color w:val="auto"/>
          <w:highlight w:val="none"/>
        </w:rPr>
      </w:pPr>
      <w:r>
        <w:rPr>
          <w:rFonts w:hint="eastAsia"/>
          <w:color w:val="auto"/>
          <w:highlight w:val="none"/>
        </w:rPr>
        <w:t>第①层、填土：杂色,松散,稍湿;未固结、未压实，呈松散状，主要成分为粉粒、黏粒，局部夹少量强风化砂岩碎块、碎石。</w:t>
      </w:r>
      <w:r>
        <w:rPr>
          <w:rFonts w:hint="eastAsia"/>
          <w:color w:val="auto"/>
          <w:highlight w:val="none"/>
          <w:lang w:val="en-US" w:eastAsia="zh-CN"/>
        </w:rPr>
        <w:t>场区内钻孔均有揭露</w:t>
      </w:r>
      <w:r>
        <w:rPr>
          <w:rFonts w:hint="eastAsia"/>
          <w:color w:val="auto"/>
          <w:highlight w:val="none"/>
        </w:rPr>
        <w:t>。层厚0.</w:t>
      </w:r>
      <w:r>
        <w:rPr>
          <w:rFonts w:hint="eastAsia"/>
          <w:color w:val="auto"/>
          <w:highlight w:val="none"/>
          <w:lang w:val="en-US" w:eastAsia="zh-CN"/>
        </w:rPr>
        <w:t>4</w:t>
      </w:r>
      <w:r>
        <w:rPr>
          <w:rFonts w:hint="eastAsia"/>
          <w:color w:val="auto"/>
          <w:highlight w:val="none"/>
        </w:rPr>
        <w:t>-</w:t>
      </w:r>
      <w:r>
        <w:rPr>
          <w:rFonts w:hint="eastAsia"/>
          <w:color w:val="auto"/>
          <w:highlight w:val="none"/>
          <w:lang w:val="en-US" w:eastAsia="zh-CN"/>
        </w:rPr>
        <w:t>1.60</w:t>
      </w:r>
      <w:r>
        <w:rPr>
          <w:rFonts w:hint="eastAsia"/>
          <w:color w:val="auto"/>
          <w:highlight w:val="none"/>
        </w:rPr>
        <w:t>米，平均</w:t>
      </w:r>
      <w:r>
        <w:rPr>
          <w:rFonts w:hint="eastAsia"/>
          <w:color w:val="auto"/>
          <w:highlight w:val="none"/>
          <w:lang w:val="en-US" w:eastAsia="zh-CN"/>
        </w:rPr>
        <w:t>0.87</w:t>
      </w:r>
      <w:r>
        <w:rPr>
          <w:rFonts w:hint="eastAsia"/>
          <w:color w:val="auto"/>
          <w:highlight w:val="none"/>
        </w:rPr>
        <w:t>米。本层标贯6次，N=</w:t>
      </w:r>
      <w:r>
        <w:rPr>
          <w:rFonts w:hint="eastAsia"/>
          <w:color w:val="auto"/>
          <w:highlight w:val="none"/>
          <w:lang w:val="en-US" w:eastAsia="zh-CN"/>
        </w:rPr>
        <w:t>3</w:t>
      </w:r>
      <w:r>
        <w:rPr>
          <w:rFonts w:hint="eastAsia"/>
          <w:color w:val="auto"/>
          <w:highlight w:val="none"/>
        </w:rPr>
        <w:t>击～</w:t>
      </w:r>
      <w:r>
        <w:rPr>
          <w:rFonts w:hint="eastAsia"/>
          <w:color w:val="auto"/>
          <w:highlight w:val="none"/>
          <w:lang w:val="en-US" w:eastAsia="zh-CN"/>
        </w:rPr>
        <w:t>7</w:t>
      </w:r>
      <w:r>
        <w:rPr>
          <w:rFonts w:hint="eastAsia"/>
          <w:color w:val="auto"/>
          <w:highlight w:val="none"/>
        </w:rPr>
        <w:t>击，平均值</w:t>
      </w:r>
      <w:r>
        <w:rPr>
          <w:rFonts w:hint="eastAsia"/>
          <w:color w:val="auto"/>
          <w:highlight w:val="none"/>
          <w:lang w:val="en-US" w:eastAsia="zh-CN"/>
        </w:rPr>
        <w:t>4.8</w:t>
      </w:r>
      <w:r>
        <w:rPr>
          <w:rFonts w:hint="eastAsia"/>
          <w:color w:val="auto"/>
          <w:highlight w:val="none"/>
        </w:rPr>
        <w:t>击，</w:t>
      </w:r>
      <w:r>
        <w:rPr>
          <w:rFonts w:hint="eastAsia"/>
          <w:color w:val="auto"/>
          <w:highlight w:val="none"/>
          <w:lang w:val="en-US" w:eastAsia="zh-CN"/>
        </w:rPr>
        <w:t>修正标准</w:t>
      </w:r>
      <w:r>
        <w:rPr>
          <w:rFonts w:hint="eastAsia"/>
          <w:color w:val="auto"/>
          <w:highlight w:val="none"/>
        </w:rPr>
        <w:t>值</w:t>
      </w:r>
      <w:r>
        <w:rPr>
          <w:rFonts w:hint="eastAsia"/>
          <w:color w:val="auto"/>
          <w:highlight w:val="none"/>
          <w:lang w:val="en-US" w:eastAsia="zh-CN"/>
        </w:rPr>
        <w:t>4.82</w:t>
      </w:r>
      <w:r>
        <w:rPr>
          <w:rFonts w:hint="eastAsia"/>
          <w:color w:val="auto"/>
          <w:highlight w:val="none"/>
        </w:rPr>
        <w:t>击。</w:t>
      </w:r>
    </w:p>
    <w:p>
      <w:pPr>
        <w:ind w:firstLine="480"/>
        <w:rPr>
          <w:rFonts w:hint="eastAsia"/>
          <w:color w:val="auto"/>
          <w:highlight w:val="none"/>
        </w:rPr>
      </w:pPr>
      <w:r>
        <w:rPr>
          <w:rFonts w:hint="eastAsia"/>
          <w:color w:val="auto"/>
          <w:highlight w:val="none"/>
        </w:rPr>
        <w:t>第②层、粉质粘土：黄色、亚黄色、褐黄色,稍密,稍湿,可塑状;无摇振反应，稍有光滑，干强度中等，韧性中等。主要成份为粘粒、粉粒，局部含少量碎块和碎石。</w:t>
      </w:r>
      <w:r>
        <w:rPr>
          <w:rFonts w:hint="eastAsia"/>
          <w:color w:val="auto"/>
          <w:highlight w:val="none"/>
          <w:lang w:val="en-US" w:eastAsia="zh-CN"/>
        </w:rPr>
        <w:t>场区内钻孔均有揭露</w:t>
      </w:r>
      <w:r>
        <w:rPr>
          <w:rFonts w:hint="eastAsia"/>
          <w:color w:val="auto"/>
          <w:highlight w:val="none"/>
        </w:rPr>
        <w:t>。层厚</w:t>
      </w:r>
      <w:r>
        <w:rPr>
          <w:rFonts w:hint="eastAsia"/>
          <w:color w:val="auto"/>
          <w:highlight w:val="none"/>
          <w:lang w:val="en-US" w:eastAsia="zh-CN"/>
        </w:rPr>
        <w:t>12.6</w:t>
      </w:r>
      <w:r>
        <w:rPr>
          <w:rFonts w:hint="eastAsia"/>
          <w:color w:val="auto"/>
          <w:highlight w:val="none"/>
        </w:rPr>
        <w:t>～</w:t>
      </w:r>
      <w:r>
        <w:rPr>
          <w:rFonts w:hint="eastAsia"/>
          <w:color w:val="auto"/>
          <w:highlight w:val="none"/>
          <w:lang w:val="en-US" w:eastAsia="zh-CN"/>
        </w:rPr>
        <w:t>15.6</w:t>
      </w:r>
      <w:r>
        <w:rPr>
          <w:rFonts w:hint="eastAsia"/>
          <w:color w:val="auto"/>
          <w:highlight w:val="none"/>
        </w:rPr>
        <w:t>米，平均</w:t>
      </w:r>
      <w:r>
        <w:rPr>
          <w:rFonts w:hint="eastAsia"/>
          <w:color w:val="auto"/>
          <w:highlight w:val="none"/>
          <w:lang w:val="en-US" w:eastAsia="zh-CN"/>
        </w:rPr>
        <w:t>13.87</w:t>
      </w:r>
      <w:r>
        <w:rPr>
          <w:rFonts w:hint="eastAsia"/>
          <w:color w:val="auto"/>
          <w:highlight w:val="none"/>
        </w:rPr>
        <w:t>米。本层为弱透水。本层标贯</w:t>
      </w:r>
      <w:r>
        <w:rPr>
          <w:rFonts w:hint="eastAsia"/>
          <w:color w:val="auto"/>
          <w:highlight w:val="none"/>
          <w:lang w:val="en-US" w:eastAsia="zh-CN"/>
        </w:rPr>
        <w:t>6</w:t>
      </w:r>
      <w:r>
        <w:rPr>
          <w:rFonts w:hint="eastAsia"/>
          <w:color w:val="auto"/>
          <w:highlight w:val="none"/>
        </w:rPr>
        <w:t>次，N=</w:t>
      </w:r>
      <w:r>
        <w:rPr>
          <w:rFonts w:hint="eastAsia"/>
          <w:color w:val="auto"/>
          <w:highlight w:val="none"/>
          <w:lang w:val="en-US" w:eastAsia="zh-CN"/>
        </w:rPr>
        <w:t>14</w:t>
      </w:r>
      <w:r>
        <w:rPr>
          <w:rFonts w:hint="eastAsia"/>
          <w:color w:val="auto"/>
          <w:highlight w:val="none"/>
        </w:rPr>
        <w:t>击～</w:t>
      </w:r>
      <w:r>
        <w:rPr>
          <w:rFonts w:hint="eastAsia"/>
          <w:color w:val="auto"/>
          <w:highlight w:val="none"/>
          <w:lang w:val="en-US" w:eastAsia="zh-CN"/>
        </w:rPr>
        <w:t>18</w:t>
      </w:r>
      <w:r>
        <w:rPr>
          <w:rFonts w:hint="eastAsia"/>
          <w:color w:val="auto"/>
          <w:highlight w:val="none"/>
        </w:rPr>
        <w:t>击，平均值</w:t>
      </w:r>
      <w:r>
        <w:rPr>
          <w:rFonts w:hint="eastAsia"/>
          <w:color w:val="auto"/>
          <w:highlight w:val="none"/>
          <w:lang w:val="en-US" w:eastAsia="zh-CN"/>
        </w:rPr>
        <w:t>15.8</w:t>
      </w:r>
      <w:r>
        <w:rPr>
          <w:rFonts w:hint="eastAsia"/>
          <w:color w:val="auto"/>
          <w:highlight w:val="none"/>
        </w:rPr>
        <w:t>击，</w:t>
      </w:r>
      <w:r>
        <w:rPr>
          <w:rFonts w:hint="eastAsia"/>
          <w:color w:val="auto"/>
          <w:highlight w:val="none"/>
          <w:lang w:val="en-US" w:eastAsia="zh-CN"/>
        </w:rPr>
        <w:t>修正标准</w:t>
      </w:r>
      <w:r>
        <w:rPr>
          <w:rFonts w:hint="eastAsia"/>
          <w:color w:val="auto"/>
          <w:highlight w:val="none"/>
        </w:rPr>
        <w:t>值</w:t>
      </w:r>
      <w:r>
        <w:rPr>
          <w:rFonts w:hint="eastAsia"/>
          <w:color w:val="auto"/>
          <w:highlight w:val="none"/>
          <w:lang w:val="en-US" w:eastAsia="zh-CN"/>
        </w:rPr>
        <w:t>14.50</w:t>
      </w:r>
      <w:r>
        <w:rPr>
          <w:rFonts w:hint="eastAsia"/>
          <w:color w:val="auto"/>
          <w:highlight w:val="none"/>
        </w:rPr>
        <w:t>击。</w:t>
      </w:r>
    </w:p>
    <w:p>
      <w:pPr>
        <w:ind w:firstLine="480"/>
        <w:rPr>
          <w:rFonts w:hint="eastAsia"/>
          <w:color w:val="auto"/>
          <w:highlight w:val="none"/>
        </w:rPr>
      </w:pPr>
      <w:r>
        <w:rPr>
          <w:rFonts w:hint="eastAsia"/>
          <w:color w:val="auto"/>
          <w:highlight w:val="none"/>
        </w:rPr>
        <w:t>(2)  水文地质条件</w:t>
      </w:r>
    </w:p>
    <w:p>
      <w:pPr>
        <w:ind w:firstLine="480"/>
        <w:rPr>
          <w:rFonts w:hint="eastAsia"/>
          <w:color w:val="auto"/>
          <w:highlight w:val="none"/>
        </w:rPr>
      </w:pPr>
      <w:r>
        <w:rPr>
          <w:rFonts w:hint="eastAsia"/>
          <w:color w:val="auto"/>
          <w:highlight w:val="none"/>
        </w:rPr>
        <w:t>地下水类型以孔隙水为主，少量基岩裂隙水，主要受大气降水和地表水下渗补给。</w:t>
      </w:r>
    </w:p>
    <w:p>
      <w:pPr>
        <w:ind w:firstLine="480"/>
        <w:rPr>
          <w:rFonts w:hint="eastAsia"/>
          <w:color w:val="auto"/>
          <w:highlight w:val="none"/>
        </w:rPr>
      </w:pPr>
      <w:r>
        <w:rPr>
          <w:rFonts w:hint="eastAsia"/>
          <w:color w:val="auto"/>
          <w:highlight w:val="none"/>
        </w:rPr>
        <w:t>场地所属区域气候温和，雨量充沛，水系交错纵横，地表水排泄通畅。场址勘探深度内，地下水类型为孔隙水和基岩裂隙水，均属潜水，孔隙水主要赋存于填土、粘土、砂层中，水量丰富，地下水与河水有着密切的水力联系，随河水位变化而变化，年水位变幅2～3m，由河水和大气降水补给；基岩裂隙水埋藏于基岩裂隙中，水量不大，主要受上层地下水下渗补给。</w:t>
      </w:r>
    </w:p>
    <w:p>
      <w:pPr>
        <w:pStyle w:val="335"/>
        <w:spacing w:before="120" w:after="120"/>
        <w:rPr>
          <w:color w:val="auto"/>
          <w:highlight w:val="none"/>
        </w:rPr>
      </w:pPr>
      <w:bookmarkStart w:id="43" w:name="_Toc536295016"/>
      <w:r>
        <w:rPr>
          <w:rFonts w:hint="eastAsia"/>
          <w:color w:val="auto"/>
          <w:highlight w:val="none"/>
        </w:rPr>
        <w:t>1.3.2 工程地质的主要结论</w:t>
      </w:r>
      <w:bookmarkEnd w:id="43"/>
    </w:p>
    <w:p>
      <w:pPr>
        <w:ind w:firstLine="480"/>
        <w:rPr>
          <w:rFonts w:hint="eastAsia"/>
          <w:color w:val="auto"/>
          <w:highlight w:val="none"/>
        </w:rPr>
      </w:pPr>
      <w:r>
        <w:rPr>
          <w:rFonts w:hint="eastAsia"/>
          <w:color w:val="auto"/>
          <w:highlight w:val="none"/>
        </w:rPr>
        <w:t>1、本次勘察是按设计下达的勘察任务要求及相关规范进行，查明了的地层岩性、工程地质条件、水文水质条件，基本满足初步阶段精度要求。</w:t>
      </w:r>
    </w:p>
    <w:p>
      <w:pPr>
        <w:ind w:firstLine="480"/>
        <w:rPr>
          <w:rFonts w:hint="eastAsia"/>
          <w:color w:val="auto"/>
          <w:highlight w:val="none"/>
        </w:rPr>
      </w:pPr>
      <w:r>
        <w:rPr>
          <w:rFonts w:hint="eastAsia"/>
          <w:color w:val="auto"/>
          <w:highlight w:val="none"/>
        </w:rPr>
        <w:t>2、本区域未发现有规模较大的滑坡、崩塌、泥石流等不良物理地质现象，但由于河流域植被破坏，水土流失较严重，影响到两岸边坡稳定性。</w:t>
      </w:r>
    </w:p>
    <w:p>
      <w:pPr>
        <w:ind w:firstLine="480"/>
        <w:rPr>
          <w:rFonts w:hint="eastAsia"/>
          <w:color w:val="auto"/>
          <w:highlight w:val="none"/>
        </w:rPr>
      </w:pPr>
      <w:r>
        <w:rPr>
          <w:rFonts w:hint="eastAsia"/>
          <w:color w:val="auto"/>
          <w:highlight w:val="none"/>
        </w:rPr>
        <w:t>3、根据《中国地震动参数区划图》（GB18306-2015），本区地震动峰值加速度为0.05g，相当于地震基本烈度</w:t>
      </w:r>
      <w:r>
        <w:rPr>
          <w:rFonts w:hint="eastAsia"/>
          <w:color w:val="auto"/>
          <w:highlight w:val="none"/>
        </w:rPr>
        <w:fldChar w:fldCharType="begin"/>
      </w:r>
      <w:r>
        <w:rPr>
          <w:rFonts w:hint="eastAsia"/>
          <w:color w:val="auto"/>
          <w:highlight w:val="none"/>
        </w:rPr>
        <w:instrText xml:space="preserve"> = 7 \* ROMAN </w:instrText>
      </w:r>
      <w:r>
        <w:rPr>
          <w:rFonts w:hint="eastAsia"/>
          <w:color w:val="auto"/>
          <w:highlight w:val="none"/>
        </w:rPr>
        <w:fldChar w:fldCharType="separate"/>
      </w:r>
      <w:r>
        <w:rPr>
          <w:rFonts w:hint="eastAsia"/>
          <w:color w:val="auto"/>
          <w:highlight w:val="none"/>
        </w:rPr>
        <w:t>VI</w:t>
      </w:r>
      <w:r>
        <w:rPr>
          <w:rFonts w:hint="eastAsia"/>
          <w:color w:val="auto"/>
          <w:highlight w:val="none"/>
        </w:rPr>
        <w:fldChar w:fldCharType="end"/>
      </w:r>
      <w:r>
        <w:rPr>
          <w:rFonts w:hint="eastAsia"/>
          <w:color w:val="auto"/>
          <w:highlight w:val="none"/>
        </w:rPr>
        <w:t>度。</w:t>
      </w:r>
    </w:p>
    <w:p>
      <w:pPr>
        <w:ind w:firstLine="480"/>
        <w:rPr>
          <w:rFonts w:hint="eastAsia"/>
          <w:color w:val="auto"/>
          <w:highlight w:val="none"/>
        </w:rPr>
      </w:pPr>
      <w:r>
        <w:rPr>
          <w:rFonts w:hint="eastAsia"/>
          <w:color w:val="auto"/>
          <w:highlight w:val="none"/>
        </w:rPr>
        <w:t>4、区域地下水对混凝土无腐蚀性，对钢结构存在弱腐蚀性。</w:t>
      </w:r>
    </w:p>
    <w:p>
      <w:pPr>
        <w:ind w:firstLine="480"/>
        <w:rPr>
          <w:rFonts w:hint="eastAsia"/>
          <w:color w:val="auto"/>
          <w:highlight w:val="none"/>
        </w:rPr>
      </w:pPr>
      <w:r>
        <w:rPr>
          <w:rFonts w:hint="eastAsia"/>
          <w:color w:val="auto"/>
          <w:highlight w:val="none"/>
        </w:rPr>
        <w:t>5、堤基地层结构主要为砂-粘土，下部为风化岩。含卵石粗砂层普遍存在，厚度分布不均匀，存在强度高，压缩性小、强透水等特点，工程地质条件一般，需注意渗漏问题。粉质粘土-砂质黏土普遍存在，强度一般，透水性弱，构成堤基相对隔水层。</w:t>
      </w:r>
    </w:p>
    <w:p>
      <w:pPr>
        <w:ind w:firstLine="480"/>
        <w:rPr>
          <w:rFonts w:hint="eastAsia"/>
          <w:color w:val="auto"/>
          <w:highlight w:val="none"/>
        </w:rPr>
      </w:pPr>
      <w:r>
        <w:rPr>
          <w:rFonts w:hint="eastAsia"/>
          <w:color w:val="auto"/>
          <w:highlight w:val="none"/>
        </w:rPr>
        <w:t>6、粘性土渗透变形形式为流土，临界水力比降较大，砂、卵石临界水力比降较小，相对来说容易产生渗透破坏。</w:t>
      </w:r>
    </w:p>
    <w:p>
      <w:pPr>
        <w:pStyle w:val="3"/>
        <w:rPr>
          <w:color w:val="auto"/>
          <w:highlight w:val="none"/>
        </w:rPr>
      </w:pPr>
      <w:bookmarkStart w:id="44" w:name="_Toc19770"/>
      <w:bookmarkStart w:id="45" w:name="_Toc536295017"/>
      <w:bookmarkStart w:id="46" w:name="_Toc415834253"/>
      <w:r>
        <w:rPr>
          <w:color w:val="auto"/>
          <w:highlight w:val="none"/>
        </w:rPr>
        <w:t>1.</w:t>
      </w:r>
      <w:r>
        <w:rPr>
          <w:rFonts w:hint="eastAsia"/>
          <w:color w:val="auto"/>
          <w:highlight w:val="none"/>
        </w:rPr>
        <w:t>4</w:t>
      </w:r>
      <w:r>
        <w:rPr>
          <w:color w:val="auto"/>
          <w:highlight w:val="none"/>
        </w:rPr>
        <w:t xml:space="preserve"> </w:t>
      </w:r>
      <w:r>
        <w:rPr>
          <w:rFonts w:hint="eastAsia"/>
          <w:color w:val="auto"/>
          <w:highlight w:val="none"/>
        </w:rPr>
        <w:t>工程任务及</w:t>
      </w:r>
      <w:r>
        <w:rPr>
          <w:color w:val="auto"/>
          <w:highlight w:val="none"/>
        </w:rPr>
        <w:t>规模</w:t>
      </w:r>
      <w:bookmarkEnd w:id="44"/>
      <w:bookmarkEnd w:id="45"/>
      <w:bookmarkEnd w:id="46"/>
    </w:p>
    <w:p>
      <w:pPr>
        <w:pStyle w:val="335"/>
        <w:spacing w:before="120" w:after="120"/>
        <w:rPr>
          <w:color w:val="auto"/>
          <w:highlight w:val="none"/>
        </w:rPr>
      </w:pPr>
      <w:bookmarkStart w:id="47" w:name="_Toc536295019"/>
      <w:bookmarkStart w:id="48" w:name="_Toc415834254"/>
      <w:bookmarkStart w:id="49" w:name="_Toc536295024"/>
      <w:r>
        <w:rPr>
          <w:rFonts w:hint="eastAsia"/>
          <w:color w:val="auto"/>
          <w:highlight w:val="none"/>
        </w:rPr>
        <w:t>1.4.1 工程建设的必要性</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1.4.1.1渠道现状</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color w:val="auto"/>
          <w:highlight w:val="none"/>
          <w:lang w:val="en-US" w:eastAsia="zh-CN"/>
        </w:rPr>
      </w:pPr>
      <w:r>
        <w:rPr>
          <w:rFonts w:hint="eastAsia"/>
          <w:color w:val="auto"/>
          <w:highlight w:val="none"/>
          <w:lang w:val="en-US" w:eastAsia="zh-CN"/>
        </w:rPr>
        <w:t>1、0+000~0+620及0+700~1+207渠段，现状大部分渠道为土渠，局部位置下边坡侧有浆砌石挡土墙衬砌，现状的挡墙高低不一，大多挡墙已损坏严重，局部挡墙有沉陷变形，挡墙面大部分批荡脱落，剩下块石衬砌裸露，砂浆不饱满，老化较严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2、本工程0+620~0+700渠段，现状渠道为浆砌石三面光渠道，部分浆砌石侧墙受损严重，局部有沉陷变形，渠底纵坡存在反坡情况，部分批荡脱落，剩下块石衬砌裸露，砂浆不饱满，老化较严重。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1.4.1.2现状存在的问题</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（1）灌区大部分渠道仍是土渠，渠道渗漏破坏严重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南大水库灌区干渠纵坡较平缓，大部分渠道仍是土渠，部分已衬砌的渠道已严重损坏变形，局部地段渠底为风化岩地层，其透水性强，原来局部地段做过单面的砂浆防渗处理，但早已剥落，基本不起作用，渗漏十分严重，已影响渠道安全。</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（2）区域内排洪闸破损严重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从化区温泉镇南大水库灌区（桃莲段）改造工程范围内渠道淤塞，排洪闸老化，破损严重，部门排洪闸无法正常启闭，不能满足区域内排洪要求，影响区域防洪安全，必须通过渠道清淤疏浚及排洪闸改造重建，以保障区域排洪安全。</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（3）南大水库大坝溢流面损坏严重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color w:val="auto"/>
          <w:highlight w:val="none"/>
          <w:lang w:val="en-US" w:eastAsia="zh-CN"/>
        </w:rPr>
      </w:pPr>
      <w:r>
        <w:rPr>
          <w:rFonts w:hint="eastAsia"/>
          <w:color w:val="auto"/>
          <w:highlight w:val="none"/>
          <w:lang w:val="en-US" w:eastAsia="zh-CN"/>
        </w:rPr>
        <w:t>由于大坝溢流面批荡脱落，存在不同程序的损坏等问题，影响了大坝的行洪安全，若不进行整治，会进一步影响下游灌区防洪安全。</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1.4.1.3工程的必要性</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（1）提高南大水库灌区排洪、灌溉能力，确保区域水安全</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南大水库灌区干渠多段渠道兼顾排洪和灌溉的功能，现状渠道老化，灌区大部分渠道仍是土渠，部分已衬砌的渠道严重损坏变形，渠系建筑物老化，部分渠水闸等建筑物设备老化严重，存在一定的安全隐患，不能满足区域内排洪需求。</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因此，南大水库灌区迫切需要进行整治，提高南大水库灌区排洪能力，保障排洪安全。</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（2）工程建设有助于提高农业用水效率，推进农业现代化发展</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现状南大水库灌区灌渠建设年代早，建设标准低，如今存在工程老化、不配套、管理粗放、渠系建筑物老化、灌溉水利用率低等问题，目前南大水库灌区渠系水利用系数仅为0.45。对南大水库灌区进行整治有助于提高农业用水效率，推广农业节水新技术，培养节水意识，节约农业用水，对水资源进行合理化利用，推进农业现代化发展。</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（3）是解决区域水资源短缺、实现水资源可持续利用的有效措施</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流溪河流域降雨充沛，但时空时程分布不均，给水资源合理有效利用带来了不便，尤其以从化区中、西部丘陵地区，历史上就是苦旱农田地区，因地势高，区内缺少大型调蓄设施，往往导致“雨季水浸田，旱季田土裂”的现象，严重制约当地农业经济的发展。</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从化区温泉镇南大水库灌区（桃莲段）改造工程的实施，不仅极大地改善了区域内排洪能力，同时改善了该地区缺水少水的现象，但是随着当地经济的发展，尤其是如今反季节蔬菜，瓜果的种植，温室花卉的培养，对水质和水量的要求更高，而主要引水干渠经多年使用，存在各种问题，渠系水利用系数较低，造成水资源的浪费，使得区域内仍存在水资源量相对不足的情况时有发生。</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因此，对南大水库灌区干渠进行整治，提高渠系水利用系数，节约水资源，提高水资源利用率，实现水资源可持续利用，符合社会经济发展的要求，能更好的推动从化区经济的快速、稳定发展。</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（4）是改善生态环境的需要、推进从化区良性发展的契机</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流溪河是从化区乃至广州市的主要饮用水水源地，在从化区境内有流溪河大型水库，黄龙带等中型水库，水资源调节性能较好，地表水主要供灌溉及生活用水，水质较好。随着社会经济的发展，流溪河流域内的生产、生活用水量显著增加，使得整个流域的水质逐年下降。近年来我市加大了生活生产污水排放处理投入，并逐步加大了天然河道水质的治理力度，根据社会发展需求修建了各种水环境工程，以创造优美的人文居住环境。因此，</w:t>
      </w:r>
      <w:r>
        <w:rPr>
          <w:rFonts w:hint="eastAsia"/>
          <w:color w:val="auto"/>
          <w:highlight w:val="none"/>
        </w:rPr>
        <w:t>从化区温泉镇南大水库灌区（</w:t>
      </w:r>
      <w:r>
        <w:rPr>
          <w:rFonts w:hint="eastAsia"/>
          <w:color w:val="auto"/>
          <w:highlight w:val="none"/>
          <w:lang w:eastAsia="zh-CN"/>
        </w:rPr>
        <w:t>桃莲段</w:t>
      </w:r>
      <w:r>
        <w:rPr>
          <w:rFonts w:hint="eastAsia"/>
          <w:color w:val="auto"/>
          <w:highlight w:val="none"/>
        </w:rPr>
        <w:t>）改造工程</w:t>
      </w:r>
      <w:r>
        <w:rPr>
          <w:rFonts w:hint="eastAsia"/>
          <w:color w:val="auto"/>
          <w:highlight w:val="none"/>
          <w:lang w:val="en-US" w:eastAsia="zh-CN"/>
        </w:rPr>
        <w:t>，是除了满足生产、生活等基本用水需要外，更是创造山清水秀生态环境的需要。</w:t>
      </w:r>
    </w:p>
    <w:p>
      <w:pPr>
        <w:pStyle w:val="335"/>
        <w:spacing w:before="120" w:after="120"/>
        <w:rPr>
          <w:color w:val="auto"/>
          <w:highlight w:val="none"/>
        </w:rPr>
      </w:pPr>
      <w:r>
        <w:rPr>
          <w:rFonts w:hint="eastAsia"/>
          <w:color w:val="auto"/>
          <w:highlight w:val="none"/>
        </w:rPr>
        <w:t>1.4.2 工程任务</w:t>
      </w:r>
      <w:bookmarkEnd w:id="47"/>
    </w:p>
    <w:p>
      <w:pPr>
        <w:ind w:firstLine="480"/>
        <w:rPr>
          <w:color w:val="auto"/>
          <w:highlight w:val="none"/>
        </w:rPr>
      </w:pPr>
      <w:bookmarkStart w:id="50" w:name="_Toc536295020"/>
      <w:r>
        <w:rPr>
          <w:rFonts w:hint="eastAsia"/>
          <w:color w:val="auto"/>
          <w:highlight w:val="none"/>
        </w:rPr>
        <w:t>本工程建设的</w:t>
      </w:r>
      <w:r>
        <w:rPr>
          <w:color w:val="auto"/>
          <w:highlight w:val="none"/>
        </w:rPr>
        <w:t>主要目标为：</w:t>
      </w:r>
      <w:r>
        <w:rPr>
          <w:rFonts w:hint="eastAsia"/>
          <w:color w:val="auto"/>
          <w:szCs w:val="21"/>
          <w:highlight w:val="none"/>
        </w:rPr>
        <w:t>提升防洪排涝标准</w:t>
      </w:r>
      <w:r>
        <w:rPr>
          <w:rFonts w:hint="eastAsia"/>
          <w:color w:val="auto"/>
          <w:highlight w:val="none"/>
        </w:rPr>
        <w:t>，</w:t>
      </w:r>
      <w:r>
        <w:rPr>
          <w:rFonts w:hint="eastAsia"/>
          <w:color w:val="auto"/>
          <w:szCs w:val="21"/>
          <w:highlight w:val="none"/>
        </w:rPr>
        <w:t>优化水系布局，优化河道水域岸线；</w:t>
      </w:r>
      <w:r>
        <w:rPr>
          <w:rFonts w:hint="eastAsia"/>
          <w:color w:val="auto"/>
          <w:highlight w:val="none"/>
        </w:rPr>
        <w:t>以渠道疏浚、防渗及渠系建筑物更新改造为重点，提高渠道排洪、灌溉能力。</w:t>
      </w:r>
    </w:p>
    <w:p>
      <w:pPr>
        <w:ind w:firstLine="480"/>
        <w:rPr>
          <w:rFonts w:hint="eastAsia"/>
          <w:b w:val="0"/>
          <w:bCs/>
          <w:color w:val="auto"/>
          <w:highlight w:val="none"/>
          <w:lang w:val="en-US" w:eastAsia="zh-CN"/>
        </w:rPr>
      </w:pPr>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渠道进行三面光改造，改造起点位于温泉镇桃莲村委后（桩号0+000），距离干渠渠首约5.5km，终点位于从莞深高速公路穿路箱涵进水口（桩号1+207），改造总长1207m。</w:t>
      </w:r>
    </w:p>
    <w:p>
      <w:pPr>
        <w:pStyle w:val="335"/>
        <w:spacing w:before="120" w:after="120"/>
        <w:rPr>
          <w:color w:val="auto"/>
          <w:highlight w:val="none"/>
        </w:rPr>
      </w:pPr>
      <w:r>
        <w:rPr>
          <w:rFonts w:hint="eastAsia"/>
          <w:color w:val="auto"/>
          <w:highlight w:val="none"/>
        </w:rPr>
        <w:t>1.4.3 设计标准</w:t>
      </w:r>
      <w:bookmarkEnd w:id="50"/>
    </w:p>
    <w:p>
      <w:pPr>
        <w:ind w:firstLine="480"/>
        <w:rPr>
          <w:rFonts w:hint="eastAsia"/>
          <w:color w:val="auto"/>
          <w:highlight w:val="none"/>
        </w:rPr>
      </w:pPr>
      <w:r>
        <w:rPr>
          <w:rFonts w:hint="eastAsia"/>
          <w:color w:val="auto"/>
          <w:highlight w:val="none"/>
        </w:rPr>
        <w:t>（1）工程等别</w:t>
      </w:r>
    </w:p>
    <w:p>
      <w:pPr>
        <w:ind w:firstLine="480"/>
        <w:rPr>
          <w:rFonts w:hint="eastAsia"/>
          <w:color w:val="auto"/>
          <w:highlight w:val="none"/>
        </w:rPr>
      </w:pPr>
      <w:r>
        <w:rPr>
          <w:rFonts w:hint="eastAsia"/>
          <w:color w:val="auto"/>
          <w:highlight w:val="none"/>
          <w:lang w:eastAsia="zh-CN"/>
        </w:rPr>
        <w:t>南大水库</w:t>
      </w:r>
      <w:r>
        <w:rPr>
          <w:rFonts w:hint="eastAsia"/>
          <w:color w:val="auto"/>
          <w:highlight w:val="none"/>
        </w:rPr>
        <w:t>灌区涉及灌溉面积</w:t>
      </w:r>
      <w:r>
        <w:rPr>
          <w:rFonts w:hint="eastAsia"/>
          <w:color w:val="auto"/>
          <w:highlight w:val="none"/>
          <w:lang w:val="en-US" w:eastAsia="zh-CN"/>
        </w:rPr>
        <w:t>8900</w:t>
      </w:r>
      <w:r>
        <w:rPr>
          <w:rFonts w:hint="eastAsia"/>
          <w:color w:val="auto"/>
          <w:highlight w:val="none"/>
        </w:rPr>
        <w:t>亩，根据《灌区改造技术规范》（GB50599-2010），灌区灌溉面积</w:t>
      </w:r>
      <w:r>
        <w:rPr>
          <w:rFonts w:hint="eastAsia"/>
          <w:color w:val="auto"/>
          <w:highlight w:val="none"/>
          <w:lang w:eastAsia="zh-CN"/>
        </w:rPr>
        <w:t>小</w:t>
      </w:r>
      <w:r>
        <w:rPr>
          <w:rFonts w:hint="eastAsia"/>
          <w:color w:val="auto"/>
          <w:highlight w:val="none"/>
        </w:rPr>
        <w:t>于1万亩，为</w:t>
      </w:r>
      <w:r>
        <w:rPr>
          <w:rFonts w:hint="eastAsia"/>
          <w:color w:val="auto"/>
          <w:highlight w:val="none"/>
          <w:lang w:eastAsia="zh-CN"/>
        </w:rPr>
        <w:t>小</w:t>
      </w:r>
      <w:r>
        <w:rPr>
          <w:rFonts w:hint="eastAsia"/>
          <w:color w:val="auto"/>
          <w:highlight w:val="none"/>
        </w:rPr>
        <w:t>型灌区，本工程</w:t>
      </w:r>
      <w:r>
        <w:rPr>
          <w:rFonts w:hint="eastAsia"/>
          <w:color w:val="auto"/>
          <w:highlight w:val="none"/>
          <w:lang w:eastAsia="zh-CN"/>
        </w:rPr>
        <w:t>南大水库</w:t>
      </w:r>
      <w:r>
        <w:rPr>
          <w:rFonts w:hint="eastAsia"/>
          <w:color w:val="auto"/>
          <w:highlight w:val="none"/>
        </w:rPr>
        <w:t>灌区为</w:t>
      </w:r>
      <w:r>
        <w:rPr>
          <w:rFonts w:hint="eastAsia"/>
          <w:color w:val="auto"/>
          <w:highlight w:val="none"/>
          <w:lang w:eastAsia="zh-CN"/>
        </w:rPr>
        <w:t>小</w:t>
      </w:r>
      <w:r>
        <w:rPr>
          <w:rFonts w:hint="eastAsia"/>
          <w:color w:val="auto"/>
          <w:highlight w:val="none"/>
        </w:rPr>
        <w:t>型灌区，工程等别为</w:t>
      </w:r>
      <w:r>
        <w:rPr>
          <w:rFonts w:hint="eastAsia"/>
          <w:color w:val="auto"/>
          <w:highlight w:val="none"/>
          <w:lang w:eastAsia="zh-CN"/>
        </w:rPr>
        <w:t>Ⅴ</w:t>
      </w:r>
      <w:r>
        <w:rPr>
          <w:rFonts w:hint="eastAsia"/>
          <w:color w:val="auto"/>
          <w:highlight w:val="none"/>
        </w:rPr>
        <w:t>等。</w:t>
      </w:r>
    </w:p>
    <w:p>
      <w:pPr>
        <w:ind w:firstLine="480"/>
        <w:rPr>
          <w:rFonts w:hint="eastAsia"/>
          <w:color w:val="auto"/>
          <w:highlight w:val="none"/>
        </w:rPr>
      </w:pPr>
      <w:r>
        <w:rPr>
          <w:rFonts w:hint="eastAsia"/>
          <w:color w:val="auto"/>
          <w:highlight w:val="none"/>
        </w:rPr>
        <w:t>（2）建筑物级别及防洪标准</w:t>
      </w:r>
    </w:p>
    <w:p>
      <w:pPr>
        <w:ind w:firstLine="480"/>
        <w:rPr>
          <w:rFonts w:hint="eastAsia"/>
          <w:color w:val="auto"/>
          <w:highlight w:val="none"/>
        </w:rPr>
      </w:pPr>
      <w:r>
        <w:rPr>
          <w:rFonts w:hint="eastAsia"/>
          <w:color w:val="auto"/>
          <w:highlight w:val="none"/>
        </w:rPr>
        <w:t>本工程干渠以排洪、灌溉任务为主，根据《灌溉与排水工程设计规范》（GB 50288-2018）的规定，引水干渠的级别当按灌溉和排水流量分属两个不同工程级别时，应按其中较高的级别确定。因各引水干渠渠道灌溉流量和排水流量不同，本次工程分别按灌溉和排水流量选取工程级别，并按其中较高的级别确定。渠道全段级别5级，渠道防洪标准根据《灌溉与排水工程设计规范》表3.3.3，进行确定。各段渠道的防洪标准为10年一遇。</w:t>
      </w:r>
    </w:p>
    <w:p>
      <w:pPr>
        <w:pStyle w:val="335"/>
        <w:spacing w:before="120" w:after="120"/>
        <w:rPr>
          <w:color w:val="auto"/>
          <w:highlight w:val="none"/>
        </w:rPr>
      </w:pPr>
      <w:bookmarkStart w:id="51" w:name="_Toc536295021"/>
      <w:r>
        <w:rPr>
          <w:rFonts w:hint="eastAsia"/>
          <w:color w:val="auto"/>
          <w:highlight w:val="none"/>
        </w:rPr>
        <w:t>1.4.4 排洪能力计算</w:t>
      </w:r>
    </w:p>
    <w:p>
      <w:pPr>
        <w:ind w:firstLine="480"/>
        <w:rPr>
          <w:color w:val="auto"/>
          <w:highlight w:val="none"/>
        </w:rPr>
      </w:pPr>
      <w:r>
        <w:rPr>
          <w:color w:val="auto"/>
          <w:highlight w:val="none"/>
        </w:rPr>
        <w:t>根据</w:t>
      </w:r>
      <w:r>
        <w:rPr>
          <w:rFonts w:hint="eastAsia"/>
          <w:color w:val="auto"/>
          <w:highlight w:val="none"/>
        </w:rPr>
        <w:t>测量、</w:t>
      </w:r>
      <w:r>
        <w:rPr>
          <w:color w:val="auto"/>
          <w:highlight w:val="none"/>
        </w:rPr>
        <w:t>地形数据及</w:t>
      </w:r>
      <w:r>
        <w:rPr>
          <w:rFonts w:hint="eastAsia"/>
          <w:color w:val="auto"/>
          <w:highlight w:val="none"/>
        </w:rPr>
        <w:t>现场</w:t>
      </w:r>
      <w:r>
        <w:rPr>
          <w:color w:val="auto"/>
          <w:highlight w:val="none"/>
        </w:rPr>
        <w:t>调查，</w:t>
      </w:r>
      <w:r>
        <w:rPr>
          <w:rFonts w:hint="eastAsia"/>
          <w:color w:val="auto"/>
          <w:highlight w:val="none"/>
          <w:lang w:eastAsia="zh-CN"/>
        </w:rPr>
        <w:t>南大水库灌区干渠</w:t>
      </w:r>
      <w:r>
        <w:rPr>
          <w:rFonts w:hint="eastAsia"/>
          <w:color w:val="auto"/>
          <w:highlight w:val="none"/>
        </w:rPr>
        <w:t>承担</w:t>
      </w:r>
      <w:r>
        <w:rPr>
          <w:color w:val="auto"/>
          <w:highlight w:val="none"/>
        </w:rPr>
        <w:t>排水功能的主要为</w:t>
      </w:r>
      <w:r>
        <w:rPr>
          <w:rFonts w:hint="eastAsia"/>
          <w:color w:val="auto"/>
          <w:highlight w:val="none"/>
        </w:rPr>
        <w:t>沿线有山洪汇入渠段及</w:t>
      </w:r>
      <w:r>
        <w:rPr>
          <w:color w:val="auto"/>
          <w:highlight w:val="none"/>
        </w:rPr>
        <w:t>渠段上的</w:t>
      </w:r>
      <w:r>
        <w:rPr>
          <w:rFonts w:hint="eastAsia"/>
          <w:color w:val="auto"/>
          <w:highlight w:val="none"/>
        </w:rPr>
        <w:t>交叉建筑物（</w:t>
      </w:r>
      <w:r>
        <w:rPr>
          <w:rFonts w:hint="eastAsia"/>
          <w:color w:val="auto"/>
          <w:highlight w:val="none"/>
          <w:lang w:eastAsia="zh-CN"/>
        </w:rPr>
        <w:t>泄洪闸</w:t>
      </w:r>
      <w:r>
        <w:rPr>
          <w:color w:val="auto"/>
          <w:highlight w:val="none"/>
        </w:rPr>
        <w:t>）</w:t>
      </w:r>
      <w:r>
        <w:rPr>
          <w:rFonts w:hint="eastAsia"/>
          <w:color w:val="auto"/>
          <w:highlight w:val="none"/>
        </w:rPr>
        <w:t>。承担</w:t>
      </w:r>
      <w:r>
        <w:rPr>
          <w:color w:val="auto"/>
          <w:highlight w:val="none"/>
        </w:rPr>
        <w:t>排水功能的</w:t>
      </w:r>
      <w:r>
        <w:rPr>
          <w:rFonts w:hint="eastAsia"/>
          <w:color w:val="auto"/>
          <w:highlight w:val="none"/>
        </w:rPr>
        <w:t>渠段</w:t>
      </w:r>
      <w:r>
        <w:rPr>
          <w:color w:val="auto"/>
          <w:highlight w:val="none"/>
        </w:rPr>
        <w:t>渠宽均能满足相应标准下洪峰过流，但因</w:t>
      </w:r>
      <w:r>
        <w:rPr>
          <w:rFonts w:hint="eastAsia"/>
          <w:color w:val="auto"/>
          <w:highlight w:val="none"/>
          <w:lang w:eastAsia="zh-CN"/>
        </w:rPr>
        <w:t>渠道仍是土渠、部分</w:t>
      </w:r>
      <w:r>
        <w:rPr>
          <w:color w:val="auto"/>
          <w:highlight w:val="none"/>
        </w:rPr>
        <w:t>渠身破损</w:t>
      </w:r>
      <w:r>
        <w:rPr>
          <w:rFonts w:hint="eastAsia"/>
          <w:color w:val="auto"/>
          <w:highlight w:val="none"/>
        </w:rPr>
        <w:t>、</w:t>
      </w:r>
      <w:r>
        <w:rPr>
          <w:color w:val="auto"/>
          <w:highlight w:val="none"/>
        </w:rPr>
        <w:t>渠道超高不够等原因，</w:t>
      </w:r>
      <w:r>
        <w:rPr>
          <w:rFonts w:hint="eastAsia"/>
          <w:color w:val="auto"/>
          <w:highlight w:val="none"/>
        </w:rPr>
        <w:t>需</w:t>
      </w:r>
      <w:r>
        <w:rPr>
          <w:color w:val="auto"/>
          <w:highlight w:val="none"/>
        </w:rPr>
        <w:t>对其进行整治</w:t>
      </w:r>
      <w:r>
        <w:rPr>
          <w:rFonts w:hint="eastAsia"/>
          <w:color w:val="auto"/>
          <w:highlight w:val="none"/>
        </w:rPr>
        <w:t>；</w:t>
      </w:r>
      <w:r>
        <w:rPr>
          <w:color w:val="auto"/>
          <w:highlight w:val="none"/>
        </w:rPr>
        <w:t>由于现状渠</w:t>
      </w:r>
      <w:r>
        <w:rPr>
          <w:rFonts w:hint="eastAsia"/>
          <w:color w:val="auto"/>
          <w:highlight w:val="none"/>
          <w:lang w:eastAsia="zh-CN"/>
        </w:rPr>
        <w:t>道</w:t>
      </w:r>
      <w:r>
        <w:rPr>
          <w:color w:val="auto"/>
          <w:highlight w:val="none"/>
        </w:rPr>
        <w:t>仍承担灌溉功能，因此水面线的推算结合灌溉流量一并计算，本章节仅对渠道宽度过流能力进行复核</w:t>
      </w:r>
      <w:r>
        <w:rPr>
          <w:rFonts w:hint="eastAsia"/>
          <w:color w:val="auto"/>
          <w:highlight w:val="none"/>
        </w:rPr>
        <w:t>。承担</w:t>
      </w:r>
      <w:r>
        <w:rPr>
          <w:color w:val="auto"/>
          <w:highlight w:val="none"/>
        </w:rPr>
        <w:t>排水功能的交叉建筑物宽度均能满足相应标准下洪峰过流，但因</w:t>
      </w:r>
      <w:r>
        <w:rPr>
          <w:rFonts w:hint="eastAsia"/>
          <w:color w:val="auto"/>
          <w:highlight w:val="none"/>
        </w:rPr>
        <w:t>闸室老旧、</w:t>
      </w:r>
      <w:r>
        <w:rPr>
          <w:color w:val="auto"/>
          <w:highlight w:val="none"/>
        </w:rPr>
        <w:t>运行不佳等原因，</w:t>
      </w:r>
      <w:r>
        <w:rPr>
          <w:rFonts w:hint="eastAsia"/>
          <w:color w:val="auto"/>
          <w:highlight w:val="none"/>
        </w:rPr>
        <w:t>需</w:t>
      </w:r>
      <w:r>
        <w:rPr>
          <w:color w:val="auto"/>
          <w:highlight w:val="none"/>
        </w:rPr>
        <w:t>对其进行</w:t>
      </w:r>
      <w:r>
        <w:rPr>
          <w:rFonts w:hint="eastAsia"/>
          <w:color w:val="auto"/>
          <w:highlight w:val="none"/>
        </w:rPr>
        <w:t>改造。</w:t>
      </w:r>
    </w:p>
    <w:p>
      <w:pPr>
        <w:pStyle w:val="333"/>
        <w:numPr>
          <w:ilvl w:val="0"/>
          <w:numId w:val="0"/>
        </w:numPr>
        <w:ind w:leftChars="0"/>
        <w:jc w:val="center"/>
        <w:rPr>
          <w:color w:val="auto"/>
          <w:highlight w:val="none"/>
        </w:rPr>
      </w:pPr>
      <w:r>
        <w:rPr>
          <w:rFonts w:hint="eastAsia"/>
          <w:color w:val="auto"/>
          <w:highlight w:val="none"/>
          <w:lang w:eastAsia="zh-CN"/>
        </w:rPr>
        <w:t>表</w:t>
      </w:r>
      <w:r>
        <w:rPr>
          <w:rFonts w:hint="eastAsia"/>
          <w:color w:val="auto"/>
          <w:highlight w:val="none"/>
          <w:lang w:val="en-US" w:eastAsia="zh-CN"/>
        </w:rPr>
        <w:t xml:space="preserve">1-3  </w:t>
      </w:r>
      <w:r>
        <w:rPr>
          <w:rFonts w:hint="eastAsia"/>
          <w:color w:val="auto"/>
          <w:highlight w:val="none"/>
        </w:rPr>
        <w:t>渠道过流能力</w:t>
      </w:r>
      <w:r>
        <w:rPr>
          <w:color w:val="auto"/>
          <w:highlight w:val="none"/>
        </w:rPr>
        <w:t>复核</w:t>
      </w:r>
    </w:p>
    <w:tbl>
      <w:tblPr>
        <w:tblStyle w:val="47"/>
        <w:tblW w:w="87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5"/>
        <w:gridCol w:w="1012"/>
        <w:gridCol w:w="1015"/>
        <w:gridCol w:w="1011"/>
        <w:gridCol w:w="1579"/>
        <w:gridCol w:w="1098"/>
        <w:gridCol w:w="941"/>
        <w:gridCol w:w="1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jc w:val="center"/>
        </w:trPr>
        <w:tc>
          <w:tcPr>
            <w:tcW w:w="1035" w:type="dxa"/>
            <w:shd w:val="clear" w:color="auto" w:fill="auto"/>
            <w:vAlign w:val="center"/>
          </w:tcPr>
          <w:p>
            <w:pPr>
              <w:widowControl/>
              <w:spacing w:line="240" w:lineRule="atLeast"/>
              <w:ind w:firstLine="0" w:firstLineChars="0"/>
              <w:jc w:val="center"/>
              <w:rPr>
                <w:color w:val="auto"/>
                <w:sz w:val="21"/>
                <w:szCs w:val="20"/>
                <w:highlight w:val="none"/>
              </w:rPr>
            </w:pPr>
            <w:r>
              <w:rPr>
                <w:rFonts w:hint="eastAsia"/>
                <w:color w:val="auto"/>
                <w:sz w:val="21"/>
                <w:szCs w:val="20"/>
                <w:highlight w:val="none"/>
              </w:rPr>
              <w:t>起始桩号</w:t>
            </w:r>
          </w:p>
        </w:tc>
        <w:tc>
          <w:tcPr>
            <w:tcW w:w="1012" w:type="dxa"/>
            <w:shd w:val="clear" w:color="auto" w:fill="auto"/>
            <w:vAlign w:val="center"/>
          </w:tcPr>
          <w:p>
            <w:pPr>
              <w:widowControl/>
              <w:spacing w:line="240" w:lineRule="atLeast"/>
              <w:ind w:firstLine="0" w:firstLineChars="0"/>
              <w:jc w:val="center"/>
              <w:rPr>
                <w:color w:val="auto"/>
                <w:sz w:val="21"/>
                <w:szCs w:val="20"/>
                <w:highlight w:val="none"/>
              </w:rPr>
            </w:pPr>
            <w:r>
              <w:rPr>
                <w:rFonts w:hint="eastAsia"/>
                <w:color w:val="auto"/>
                <w:sz w:val="21"/>
                <w:szCs w:val="20"/>
                <w:highlight w:val="none"/>
              </w:rPr>
              <w:t>终点</w:t>
            </w:r>
            <w:r>
              <w:rPr>
                <w:color w:val="auto"/>
                <w:sz w:val="21"/>
                <w:szCs w:val="20"/>
                <w:highlight w:val="none"/>
              </w:rPr>
              <w:t>桩号</w:t>
            </w:r>
          </w:p>
        </w:tc>
        <w:tc>
          <w:tcPr>
            <w:tcW w:w="1015" w:type="dxa"/>
            <w:shd w:val="clear" w:color="auto" w:fill="auto"/>
            <w:vAlign w:val="center"/>
          </w:tcPr>
          <w:p>
            <w:pPr>
              <w:widowControl/>
              <w:spacing w:line="240" w:lineRule="atLeast"/>
              <w:ind w:firstLine="0" w:firstLineChars="0"/>
              <w:jc w:val="center"/>
              <w:rPr>
                <w:color w:val="auto"/>
                <w:sz w:val="21"/>
                <w:szCs w:val="20"/>
                <w:highlight w:val="none"/>
              </w:rPr>
            </w:pPr>
            <w:r>
              <w:rPr>
                <w:color w:val="auto"/>
                <w:sz w:val="21"/>
                <w:szCs w:val="20"/>
                <w:highlight w:val="none"/>
              </w:rPr>
              <w:t>集雨面积(k</w:t>
            </w:r>
            <w:r>
              <w:rPr>
                <w:rFonts w:hint="eastAsia"/>
                <w:color w:val="auto"/>
                <w:sz w:val="21"/>
                <w:szCs w:val="20"/>
                <w:highlight w:val="none"/>
                <w:lang w:eastAsia="zh-CN"/>
              </w:rPr>
              <w:t>m²</w:t>
            </w:r>
            <w:r>
              <w:rPr>
                <w:color w:val="auto"/>
                <w:sz w:val="21"/>
                <w:szCs w:val="20"/>
                <w:highlight w:val="none"/>
              </w:rPr>
              <w:t>)</w:t>
            </w:r>
          </w:p>
        </w:tc>
        <w:tc>
          <w:tcPr>
            <w:tcW w:w="1011" w:type="dxa"/>
            <w:shd w:val="clear" w:color="auto" w:fill="auto"/>
            <w:vAlign w:val="center"/>
          </w:tcPr>
          <w:p>
            <w:pPr>
              <w:widowControl/>
              <w:spacing w:line="240" w:lineRule="atLeast"/>
              <w:ind w:firstLine="0" w:firstLineChars="0"/>
              <w:jc w:val="center"/>
              <w:rPr>
                <w:color w:val="auto"/>
                <w:sz w:val="21"/>
                <w:szCs w:val="20"/>
                <w:highlight w:val="none"/>
              </w:rPr>
            </w:pPr>
            <w:r>
              <w:rPr>
                <w:rFonts w:hint="eastAsia"/>
                <w:color w:val="auto"/>
                <w:sz w:val="21"/>
                <w:szCs w:val="20"/>
                <w:highlight w:val="none"/>
              </w:rPr>
              <w:t>特征河长</w:t>
            </w:r>
            <w:r>
              <w:rPr>
                <w:color w:val="auto"/>
                <w:sz w:val="21"/>
                <w:szCs w:val="20"/>
                <w:highlight w:val="none"/>
              </w:rPr>
              <w:t>(m)</w:t>
            </w:r>
          </w:p>
        </w:tc>
        <w:tc>
          <w:tcPr>
            <w:tcW w:w="1579" w:type="dxa"/>
            <w:vAlign w:val="center"/>
          </w:tcPr>
          <w:p>
            <w:pPr>
              <w:widowControl/>
              <w:spacing w:line="240" w:lineRule="atLeast"/>
              <w:ind w:firstLine="0" w:firstLineChars="0"/>
              <w:jc w:val="center"/>
              <w:rPr>
                <w:color w:val="auto"/>
                <w:sz w:val="21"/>
                <w:szCs w:val="20"/>
                <w:highlight w:val="none"/>
              </w:rPr>
            </w:pPr>
            <w:r>
              <w:rPr>
                <w:rFonts w:hint="eastAsia"/>
                <w:color w:val="auto"/>
                <w:sz w:val="21"/>
                <w:szCs w:val="20"/>
                <w:highlight w:val="none"/>
              </w:rPr>
              <w:t>设计</w:t>
            </w:r>
            <w:r>
              <w:rPr>
                <w:color w:val="auto"/>
                <w:sz w:val="21"/>
                <w:szCs w:val="20"/>
                <w:highlight w:val="none"/>
              </w:rPr>
              <w:t>标准</w:t>
            </w:r>
          </w:p>
        </w:tc>
        <w:tc>
          <w:tcPr>
            <w:tcW w:w="1098" w:type="dxa"/>
            <w:vAlign w:val="center"/>
          </w:tcPr>
          <w:p>
            <w:pPr>
              <w:widowControl/>
              <w:spacing w:line="240" w:lineRule="atLeast"/>
              <w:ind w:firstLine="0" w:firstLineChars="0"/>
              <w:jc w:val="center"/>
              <w:rPr>
                <w:color w:val="auto"/>
                <w:sz w:val="21"/>
                <w:szCs w:val="20"/>
                <w:highlight w:val="none"/>
              </w:rPr>
            </w:pPr>
            <w:r>
              <w:rPr>
                <w:color w:val="auto"/>
                <w:sz w:val="21"/>
                <w:szCs w:val="20"/>
                <w:highlight w:val="none"/>
              </w:rPr>
              <w:t>设计洪峰(</w:t>
            </w:r>
            <w:r>
              <w:rPr>
                <w:rFonts w:hint="eastAsia"/>
                <w:color w:val="auto"/>
                <w:sz w:val="21"/>
                <w:szCs w:val="20"/>
                <w:highlight w:val="none"/>
                <w:lang w:eastAsia="zh-CN"/>
              </w:rPr>
              <w:t>m³</w:t>
            </w:r>
            <w:r>
              <w:rPr>
                <w:color w:val="auto"/>
                <w:sz w:val="21"/>
                <w:szCs w:val="20"/>
                <w:highlight w:val="none"/>
              </w:rPr>
              <w:t>/s)</w:t>
            </w:r>
          </w:p>
        </w:tc>
        <w:tc>
          <w:tcPr>
            <w:tcW w:w="941" w:type="dxa"/>
            <w:vAlign w:val="center"/>
          </w:tcPr>
          <w:p>
            <w:pPr>
              <w:widowControl/>
              <w:spacing w:line="240" w:lineRule="atLeast"/>
              <w:ind w:firstLine="0" w:firstLineChars="0"/>
              <w:jc w:val="center"/>
              <w:rPr>
                <w:color w:val="auto"/>
                <w:sz w:val="21"/>
                <w:szCs w:val="20"/>
                <w:highlight w:val="none"/>
              </w:rPr>
            </w:pPr>
            <w:r>
              <w:rPr>
                <w:rFonts w:hint="eastAsia"/>
                <w:color w:val="auto"/>
                <w:sz w:val="21"/>
                <w:szCs w:val="20"/>
                <w:highlight w:val="none"/>
              </w:rPr>
              <w:t>渠宽</w:t>
            </w:r>
            <w:r>
              <w:rPr>
                <w:color w:val="auto"/>
                <w:sz w:val="21"/>
                <w:szCs w:val="20"/>
                <w:highlight w:val="none"/>
              </w:rPr>
              <w:t>(m)</w:t>
            </w:r>
          </w:p>
        </w:tc>
        <w:tc>
          <w:tcPr>
            <w:tcW w:w="1086" w:type="dxa"/>
            <w:shd w:val="clear" w:color="auto" w:fill="auto"/>
            <w:vAlign w:val="center"/>
          </w:tcPr>
          <w:p>
            <w:pPr>
              <w:widowControl/>
              <w:spacing w:line="240" w:lineRule="atLeast"/>
              <w:ind w:firstLine="0" w:firstLineChars="0"/>
              <w:jc w:val="center"/>
              <w:rPr>
                <w:color w:val="auto"/>
                <w:sz w:val="21"/>
                <w:szCs w:val="20"/>
                <w:highlight w:val="none"/>
              </w:rPr>
            </w:pPr>
            <w:r>
              <w:rPr>
                <w:rFonts w:hint="eastAsia"/>
                <w:color w:val="auto"/>
                <w:sz w:val="21"/>
                <w:szCs w:val="20"/>
                <w:highlight w:val="none"/>
              </w:rPr>
              <w:t>过流能力</w:t>
            </w:r>
            <w:r>
              <w:rPr>
                <w:color w:val="auto"/>
                <w:sz w:val="21"/>
                <w:szCs w:val="20"/>
                <w:highlight w:val="none"/>
              </w:rPr>
              <w:t>复核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1035" w:type="dxa"/>
            <w:shd w:val="clear" w:color="auto" w:fill="auto"/>
            <w:vAlign w:val="center"/>
          </w:tcPr>
          <w:p>
            <w:pPr>
              <w:widowControl/>
              <w:spacing w:line="240" w:lineRule="atLeast"/>
              <w:ind w:firstLine="0" w:firstLineChars="0"/>
              <w:jc w:val="center"/>
              <w:rPr>
                <w:rFonts w:hint="eastAsia" w:eastAsia="宋体"/>
                <w:color w:val="auto"/>
                <w:sz w:val="21"/>
                <w:szCs w:val="20"/>
                <w:highlight w:val="none"/>
                <w:lang w:eastAsia="zh-CN"/>
              </w:rPr>
            </w:pPr>
            <w:r>
              <w:rPr>
                <w:rFonts w:hint="eastAsia"/>
                <w:color w:val="auto"/>
                <w:sz w:val="22"/>
                <w:szCs w:val="22"/>
                <w:highlight w:val="none"/>
                <w:lang w:val="en-US" w:eastAsia="zh-CN"/>
              </w:rPr>
              <w:t>0+000</w:t>
            </w:r>
          </w:p>
        </w:tc>
        <w:tc>
          <w:tcPr>
            <w:tcW w:w="1012" w:type="dxa"/>
            <w:shd w:val="clear" w:color="auto" w:fill="auto"/>
            <w:vAlign w:val="center"/>
          </w:tcPr>
          <w:p>
            <w:pPr>
              <w:pStyle w:val="272"/>
              <w:spacing w:line="240" w:lineRule="auto"/>
              <w:ind w:firstLine="0" w:firstLineChars="0"/>
              <w:rPr>
                <w:rFonts w:hint="default" w:eastAsia="宋体"/>
                <w:color w:val="auto"/>
                <w:sz w:val="21"/>
                <w:szCs w:val="20"/>
                <w:highlight w:val="none"/>
                <w:lang w:val="en-US" w:eastAsia="zh-CN"/>
              </w:rPr>
            </w:pPr>
            <w:r>
              <w:rPr>
                <w:rFonts w:hint="eastAsia"/>
                <w:color w:val="auto"/>
                <w:highlight w:val="none"/>
                <w:lang w:val="en-US" w:eastAsia="zh-CN"/>
              </w:rPr>
              <w:t>0+100</w:t>
            </w:r>
          </w:p>
        </w:tc>
        <w:tc>
          <w:tcPr>
            <w:tcW w:w="1015" w:type="dxa"/>
            <w:shd w:val="clear" w:color="auto" w:fill="auto"/>
            <w:vAlign w:val="center"/>
          </w:tcPr>
          <w:p>
            <w:pPr>
              <w:pStyle w:val="272"/>
              <w:spacing w:line="240" w:lineRule="auto"/>
              <w:ind w:firstLine="0" w:firstLineChars="0"/>
              <w:rPr>
                <w:rFonts w:hint="default" w:eastAsia="宋体"/>
                <w:color w:val="auto"/>
                <w:sz w:val="21"/>
                <w:szCs w:val="22"/>
                <w:highlight w:val="none"/>
                <w:lang w:val="en-US" w:eastAsia="zh-CN"/>
              </w:rPr>
            </w:pPr>
            <w:r>
              <w:rPr>
                <w:rFonts w:hint="eastAsia" w:eastAsia="等线"/>
                <w:color w:val="auto"/>
                <w:szCs w:val="22"/>
                <w:highlight w:val="none"/>
                <w:lang w:val="en-US" w:eastAsia="zh-CN"/>
              </w:rPr>
              <w:t>0.17</w:t>
            </w:r>
          </w:p>
        </w:tc>
        <w:tc>
          <w:tcPr>
            <w:tcW w:w="1011" w:type="dxa"/>
            <w:shd w:val="clear" w:color="auto" w:fill="auto"/>
            <w:vAlign w:val="center"/>
          </w:tcPr>
          <w:p>
            <w:pPr>
              <w:widowControl/>
              <w:spacing w:line="240" w:lineRule="atLeast"/>
              <w:ind w:firstLine="0" w:firstLineChars="0"/>
              <w:jc w:val="center"/>
              <w:rPr>
                <w:rFonts w:hint="default" w:eastAsia="宋体"/>
                <w:color w:val="auto"/>
                <w:sz w:val="21"/>
                <w:szCs w:val="20"/>
                <w:highlight w:val="none"/>
                <w:lang w:val="en-US" w:eastAsia="zh-CN"/>
              </w:rPr>
            </w:pPr>
            <w:r>
              <w:rPr>
                <w:rFonts w:hint="eastAsia"/>
                <w:color w:val="auto"/>
                <w:sz w:val="22"/>
                <w:szCs w:val="22"/>
                <w:highlight w:val="none"/>
                <w:lang w:val="en-US" w:eastAsia="zh-CN"/>
              </w:rPr>
              <w:t>100</w:t>
            </w:r>
          </w:p>
        </w:tc>
        <w:tc>
          <w:tcPr>
            <w:tcW w:w="1579" w:type="dxa"/>
            <w:vAlign w:val="center"/>
          </w:tcPr>
          <w:p>
            <w:pPr>
              <w:widowControl/>
              <w:spacing w:line="240" w:lineRule="atLeast"/>
              <w:ind w:firstLine="0" w:firstLineChars="0"/>
              <w:jc w:val="center"/>
              <w:rPr>
                <w:color w:val="auto"/>
                <w:sz w:val="21"/>
                <w:szCs w:val="20"/>
                <w:highlight w:val="none"/>
              </w:rPr>
            </w:pPr>
            <w:r>
              <w:rPr>
                <w:color w:val="auto"/>
                <w:sz w:val="22"/>
                <w:szCs w:val="22"/>
                <w:highlight w:val="none"/>
              </w:rPr>
              <w:t>10</w:t>
            </w:r>
            <w:r>
              <w:rPr>
                <w:rFonts w:hint="eastAsia"/>
                <w:color w:val="auto"/>
                <w:sz w:val="22"/>
                <w:szCs w:val="22"/>
                <w:highlight w:val="none"/>
              </w:rPr>
              <w:t>年一遇</w:t>
            </w:r>
          </w:p>
        </w:tc>
        <w:tc>
          <w:tcPr>
            <w:tcW w:w="1098" w:type="dxa"/>
            <w:vAlign w:val="center"/>
          </w:tcPr>
          <w:p>
            <w:pPr>
              <w:widowControl/>
              <w:spacing w:line="240" w:lineRule="atLeast"/>
              <w:ind w:firstLine="0" w:firstLineChars="0"/>
              <w:jc w:val="center"/>
              <w:rPr>
                <w:rFonts w:hint="default" w:eastAsia="宋体"/>
                <w:color w:val="auto"/>
                <w:sz w:val="21"/>
                <w:szCs w:val="22"/>
                <w:highlight w:val="none"/>
                <w:lang w:val="en-US" w:eastAsia="zh-CN"/>
              </w:rPr>
            </w:pPr>
            <w:r>
              <w:rPr>
                <w:rFonts w:hint="eastAsia"/>
                <w:color w:val="auto"/>
                <w:sz w:val="21"/>
                <w:szCs w:val="22"/>
                <w:highlight w:val="none"/>
                <w:lang w:val="en-US" w:eastAsia="zh-CN"/>
              </w:rPr>
              <w:t>2.21</w:t>
            </w:r>
          </w:p>
        </w:tc>
        <w:tc>
          <w:tcPr>
            <w:tcW w:w="941" w:type="dxa"/>
            <w:vAlign w:val="center"/>
          </w:tcPr>
          <w:p>
            <w:pPr>
              <w:widowControl/>
              <w:spacing w:line="240" w:lineRule="atLeast"/>
              <w:ind w:firstLine="0" w:firstLineChars="0"/>
              <w:jc w:val="center"/>
              <w:rPr>
                <w:rFonts w:hint="eastAsia" w:eastAsia="宋体"/>
                <w:color w:val="auto"/>
                <w:sz w:val="21"/>
                <w:szCs w:val="20"/>
                <w:highlight w:val="none"/>
                <w:lang w:eastAsia="zh-CN"/>
              </w:rPr>
            </w:pPr>
            <w:r>
              <w:rPr>
                <w:rFonts w:hint="eastAsia"/>
                <w:color w:val="auto"/>
                <w:sz w:val="22"/>
                <w:szCs w:val="22"/>
                <w:highlight w:val="none"/>
                <w:lang w:val="en-US" w:eastAsia="zh-CN"/>
              </w:rPr>
              <w:t>2.6</w:t>
            </w:r>
          </w:p>
        </w:tc>
        <w:tc>
          <w:tcPr>
            <w:tcW w:w="1086" w:type="dxa"/>
            <w:shd w:val="clear" w:color="auto" w:fill="auto"/>
            <w:vAlign w:val="center"/>
          </w:tcPr>
          <w:p>
            <w:pPr>
              <w:widowControl/>
              <w:spacing w:line="240" w:lineRule="atLeast"/>
              <w:ind w:firstLine="0" w:firstLineChars="0"/>
              <w:jc w:val="center"/>
              <w:rPr>
                <w:color w:val="auto"/>
                <w:sz w:val="21"/>
                <w:szCs w:val="20"/>
                <w:highlight w:val="none"/>
              </w:rPr>
            </w:pPr>
            <w:r>
              <w:rPr>
                <w:rFonts w:hint="eastAsia"/>
                <w:color w:val="auto"/>
                <w:sz w:val="22"/>
                <w:szCs w:val="22"/>
                <w:highlight w:val="none"/>
              </w:rPr>
              <w:t>满足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35" w:type="dxa"/>
            <w:shd w:val="clear" w:color="auto" w:fill="auto"/>
            <w:vAlign w:val="center"/>
          </w:tcPr>
          <w:p>
            <w:pPr>
              <w:widowControl/>
              <w:spacing w:line="240" w:lineRule="atLeast"/>
              <w:ind w:firstLine="0" w:firstLineChars="0"/>
              <w:jc w:val="center"/>
              <w:rPr>
                <w:rFonts w:hint="default" w:eastAsia="宋体"/>
                <w:color w:val="auto"/>
                <w:sz w:val="21"/>
                <w:szCs w:val="20"/>
                <w:highlight w:val="none"/>
                <w:lang w:val="en-US" w:eastAsia="zh-CN"/>
              </w:rPr>
            </w:pPr>
            <w:r>
              <w:rPr>
                <w:rFonts w:hint="eastAsia"/>
                <w:color w:val="auto"/>
                <w:sz w:val="22"/>
                <w:szCs w:val="22"/>
                <w:highlight w:val="none"/>
                <w:lang w:val="en-US" w:eastAsia="zh-CN"/>
              </w:rPr>
              <w:t>0+100</w:t>
            </w:r>
          </w:p>
        </w:tc>
        <w:tc>
          <w:tcPr>
            <w:tcW w:w="1012" w:type="dxa"/>
            <w:shd w:val="clear" w:color="auto" w:fill="auto"/>
            <w:vAlign w:val="center"/>
          </w:tcPr>
          <w:p>
            <w:pPr>
              <w:pStyle w:val="272"/>
              <w:spacing w:line="240" w:lineRule="auto"/>
              <w:ind w:firstLine="0" w:firstLineChars="0"/>
              <w:rPr>
                <w:rFonts w:hint="eastAsia" w:eastAsia="宋体"/>
                <w:color w:val="auto"/>
                <w:sz w:val="21"/>
                <w:szCs w:val="20"/>
                <w:highlight w:val="none"/>
                <w:lang w:eastAsia="zh-CN"/>
              </w:rPr>
            </w:pPr>
            <w:r>
              <w:rPr>
                <w:rFonts w:hint="eastAsia"/>
                <w:color w:val="auto"/>
                <w:highlight w:val="none"/>
                <w:lang w:val="en-US" w:eastAsia="zh-CN"/>
              </w:rPr>
              <w:t>1+000</w:t>
            </w:r>
          </w:p>
        </w:tc>
        <w:tc>
          <w:tcPr>
            <w:tcW w:w="1015" w:type="dxa"/>
            <w:shd w:val="clear" w:color="auto" w:fill="auto"/>
            <w:vAlign w:val="center"/>
          </w:tcPr>
          <w:p>
            <w:pPr>
              <w:pStyle w:val="272"/>
              <w:spacing w:line="240" w:lineRule="auto"/>
              <w:ind w:firstLine="0" w:firstLineChars="0"/>
              <w:rPr>
                <w:rFonts w:hint="eastAsia" w:eastAsia="宋体"/>
                <w:color w:val="auto"/>
                <w:sz w:val="21"/>
                <w:szCs w:val="22"/>
                <w:highlight w:val="none"/>
                <w:lang w:eastAsia="zh-CN"/>
              </w:rPr>
            </w:pPr>
            <w:r>
              <w:rPr>
                <w:rFonts w:hint="eastAsia" w:eastAsia="等线"/>
                <w:color w:val="auto"/>
                <w:szCs w:val="22"/>
                <w:highlight w:val="none"/>
                <w:lang w:val="en-US" w:eastAsia="zh-CN"/>
              </w:rPr>
              <w:t>0.24</w:t>
            </w:r>
          </w:p>
        </w:tc>
        <w:tc>
          <w:tcPr>
            <w:tcW w:w="1011" w:type="dxa"/>
            <w:shd w:val="clear" w:color="auto" w:fill="auto"/>
            <w:vAlign w:val="center"/>
          </w:tcPr>
          <w:p>
            <w:pPr>
              <w:widowControl/>
              <w:spacing w:line="240" w:lineRule="atLeast"/>
              <w:ind w:firstLine="0" w:firstLineChars="0"/>
              <w:jc w:val="center"/>
              <w:rPr>
                <w:rFonts w:hint="default" w:eastAsia="宋体"/>
                <w:color w:val="auto"/>
                <w:sz w:val="21"/>
                <w:szCs w:val="20"/>
                <w:highlight w:val="none"/>
                <w:lang w:val="en-US" w:eastAsia="zh-CN"/>
              </w:rPr>
            </w:pPr>
            <w:r>
              <w:rPr>
                <w:rFonts w:hint="eastAsia"/>
                <w:color w:val="auto"/>
                <w:sz w:val="21"/>
                <w:szCs w:val="20"/>
                <w:highlight w:val="none"/>
                <w:lang w:val="en-US" w:eastAsia="zh-CN"/>
              </w:rPr>
              <w:t>900</w:t>
            </w:r>
          </w:p>
        </w:tc>
        <w:tc>
          <w:tcPr>
            <w:tcW w:w="1579" w:type="dxa"/>
            <w:vAlign w:val="center"/>
          </w:tcPr>
          <w:p>
            <w:pPr>
              <w:widowControl/>
              <w:spacing w:line="240" w:lineRule="atLeast"/>
              <w:ind w:firstLine="0" w:firstLineChars="0"/>
              <w:jc w:val="center"/>
              <w:rPr>
                <w:color w:val="auto"/>
                <w:sz w:val="21"/>
                <w:szCs w:val="20"/>
                <w:highlight w:val="none"/>
              </w:rPr>
            </w:pPr>
            <w:r>
              <w:rPr>
                <w:color w:val="auto"/>
                <w:sz w:val="22"/>
                <w:szCs w:val="22"/>
                <w:highlight w:val="none"/>
              </w:rPr>
              <w:t>10</w:t>
            </w:r>
            <w:r>
              <w:rPr>
                <w:rFonts w:hint="eastAsia"/>
                <w:color w:val="auto"/>
                <w:sz w:val="22"/>
                <w:szCs w:val="22"/>
                <w:highlight w:val="none"/>
              </w:rPr>
              <w:t>年一遇</w:t>
            </w:r>
          </w:p>
        </w:tc>
        <w:tc>
          <w:tcPr>
            <w:tcW w:w="1098" w:type="dxa"/>
            <w:vAlign w:val="center"/>
          </w:tcPr>
          <w:p>
            <w:pPr>
              <w:widowControl/>
              <w:spacing w:line="240" w:lineRule="atLeast"/>
              <w:ind w:firstLine="0" w:firstLineChars="0"/>
              <w:jc w:val="center"/>
              <w:rPr>
                <w:rFonts w:hint="default" w:eastAsia="宋体"/>
                <w:color w:val="auto"/>
                <w:sz w:val="21"/>
                <w:szCs w:val="22"/>
                <w:highlight w:val="none"/>
                <w:lang w:val="en-US" w:eastAsia="zh-CN"/>
              </w:rPr>
            </w:pPr>
            <w:r>
              <w:rPr>
                <w:rFonts w:hint="eastAsia"/>
                <w:color w:val="auto"/>
                <w:sz w:val="22"/>
                <w:szCs w:val="22"/>
                <w:highlight w:val="none"/>
                <w:lang w:val="en-US" w:eastAsia="zh-CN"/>
              </w:rPr>
              <w:t>3.12</w:t>
            </w:r>
          </w:p>
        </w:tc>
        <w:tc>
          <w:tcPr>
            <w:tcW w:w="941" w:type="dxa"/>
            <w:vAlign w:val="center"/>
          </w:tcPr>
          <w:p>
            <w:pPr>
              <w:widowControl/>
              <w:spacing w:line="240" w:lineRule="atLeast"/>
              <w:ind w:firstLine="0" w:firstLineChars="0"/>
              <w:jc w:val="center"/>
              <w:rPr>
                <w:rFonts w:hint="eastAsia" w:eastAsia="宋体"/>
                <w:color w:val="auto"/>
                <w:sz w:val="21"/>
                <w:szCs w:val="20"/>
                <w:highlight w:val="none"/>
                <w:lang w:val="en-US" w:eastAsia="zh-CN"/>
              </w:rPr>
            </w:pPr>
            <w:r>
              <w:rPr>
                <w:rFonts w:hint="eastAsia"/>
                <w:color w:val="auto"/>
                <w:sz w:val="21"/>
                <w:szCs w:val="20"/>
                <w:highlight w:val="none"/>
                <w:lang w:val="en-US" w:eastAsia="zh-CN"/>
              </w:rPr>
              <w:t>2.6</w:t>
            </w:r>
          </w:p>
        </w:tc>
        <w:tc>
          <w:tcPr>
            <w:tcW w:w="1086" w:type="dxa"/>
            <w:shd w:val="clear" w:color="auto" w:fill="auto"/>
            <w:vAlign w:val="center"/>
          </w:tcPr>
          <w:p>
            <w:pPr>
              <w:widowControl/>
              <w:spacing w:line="240" w:lineRule="atLeast"/>
              <w:ind w:firstLine="0" w:firstLineChars="0"/>
              <w:jc w:val="center"/>
              <w:rPr>
                <w:color w:val="auto"/>
                <w:sz w:val="21"/>
                <w:szCs w:val="20"/>
                <w:highlight w:val="none"/>
              </w:rPr>
            </w:pPr>
            <w:r>
              <w:rPr>
                <w:rFonts w:hint="eastAsia"/>
                <w:color w:val="auto"/>
                <w:sz w:val="22"/>
                <w:szCs w:val="22"/>
                <w:highlight w:val="none"/>
              </w:rPr>
              <w:t>满足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35" w:type="dxa"/>
            <w:shd w:val="clear" w:color="auto" w:fill="auto"/>
            <w:vAlign w:val="center"/>
          </w:tcPr>
          <w:p>
            <w:pPr>
              <w:widowControl/>
              <w:spacing w:line="240" w:lineRule="atLeast"/>
              <w:ind w:firstLine="0" w:firstLineChars="0"/>
              <w:jc w:val="center"/>
              <w:rPr>
                <w:rFonts w:hint="default"/>
                <w:color w:val="auto"/>
                <w:sz w:val="22"/>
                <w:szCs w:val="22"/>
                <w:highlight w:val="none"/>
                <w:lang w:val="en-US" w:eastAsia="zh-CN"/>
              </w:rPr>
            </w:pPr>
            <w:r>
              <w:rPr>
                <w:rFonts w:hint="eastAsia"/>
                <w:color w:val="auto"/>
                <w:sz w:val="22"/>
                <w:szCs w:val="22"/>
                <w:highlight w:val="none"/>
                <w:lang w:val="en-US" w:eastAsia="zh-CN"/>
              </w:rPr>
              <w:t>1+000</w:t>
            </w:r>
          </w:p>
        </w:tc>
        <w:tc>
          <w:tcPr>
            <w:tcW w:w="1012" w:type="dxa"/>
            <w:shd w:val="clear" w:color="auto" w:fill="auto"/>
            <w:vAlign w:val="center"/>
          </w:tcPr>
          <w:p>
            <w:pPr>
              <w:widowControl/>
              <w:spacing w:line="240" w:lineRule="atLeast"/>
              <w:ind w:firstLine="0" w:firstLineChars="0"/>
              <w:jc w:val="center"/>
              <w:rPr>
                <w:rFonts w:hint="default"/>
                <w:color w:val="auto"/>
                <w:sz w:val="22"/>
                <w:szCs w:val="22"/>
                <w:highlight w:val="none"/>
                <w:lang w:val="en-US" w:eastAsia="zh-CN"/>
              </w:rPr>
            </w:pPr>
            <w:r>
              <w:rPr>
                <w:rFonts w:hint="eastAsia"/>
                <w:color w:val="auto"/>
                <w:sz w:val="22"/>
                <w:szCs w:val="22"/>
                <w:highlight w:val="none"/>
                <w:lang w:val="en-US" w:eastAsia="zh-CN"/>
              </w:rPr>
              <w:t>1+207</w:t>
            </w:r>
          </w:p>
        </w:tc>
        <w:tc>
          <w:tcPr>
            <w:tcW w:w="1015" w:type="dxa"/>
            <w:shd w:val="clear" w:color="auto" w:fill="auto"/>
            <w:vAlign w:val="center"/>
          </w:tcPr>
          <w:p>
            <w:pPr>
              <w:widowControl/>
              <w:spacing w:line="240" w:lineRule="atLeast"/>
              <w:ind w:firstLine="0" w:firstLineChars="0"/>
              <w:jc w:val="center"/>
              <w:rPr>
                <w:rFonts w:hint="default" w:eastAsia="宋体"/>
                <w:color w:val="auto"/>
                <w:sz w:val="22"/>
                <w:szCs w:val="22"/>
                <w:highlight w:val="none"/>
                <w:lang w:val="en-US" w:eastAsia="zh-CN"/>
              </w:rPr>
            </w:pPr>
            <w:r>
              <w:rPr>
                <w:rFonts w:hint="eastAsia"/>
                <w:color w:val="auto"/>
                <w:sz w:val="22"/>
                <w:szCs w:val="22"/>
                <w:highlight w:val="none"/>
                <w:lang w:val="en-US" w:eastAsia="zh-CN"/>
              </w:rPr>
              <w:t>0.12</w:t>
            </w:r>
          </w:p>
        </w:tc>
        <w:tc>
          <w:tcPr>
            <w:tcW w:w="1011" w:type="dxa"/>
            <w:shd w:val="clear" w:color="auto" w:fill="auto"/>
            <w:vAlign w:val="center"/>
          </w:tcPr>
          <w:p>
            <w:pPr>
              <w:widowControl/>
              <w:spacing w:line="240" w:lineRule="atLeast"/>
              <w:ind w:firstLine="0" w:firstLineChars="0"/>
              <w:jc w:val="center"/>
              <w:rPr>
                <w:rFonts w:hint="default"/>
                <w:color w:val="auto"/>
                <w:sz w:val="21"/>
                <w:szCs w:val="20"/>
                <w:highlight w:val="none"/>
                <w:lang w:val="en-US" w:eastAsia="zh-CN"/>
              </w:rPr>
            </w:pPr>
            <w:r>
              <w:rPr>
                <w:rFonts w:hint="eastAsia"/>
                <w:color w:val="auto"/>
                <w:sz w:val="21"/>
                <w:szCs w:val="20"/>
                <w:highlight w:val="none"/>
                <w:lang w:val="en-US" w:eastAsia="zh-CN"/>
              </w:rPr>
              <w:t>207</w:t>
            </w:r>
          </w:p>
        </w:tc>
        <w:tc>
          <w:tcPr>
            <w:tcW w:w="1579" w:type="dxa"/>
            <w:vAlign w:val="center"/>
          </w:tcPr>
          <w:p>
            <w:pPr>
              <w:widowControl/>
              <w:spacing w:line="240" w:lineRule="atLeast"/>
              <w:ind w:firstLine="0" w:firstLineChars="0"/>
              <w:jc w:val="center"/>
              <w:rPr>
                <w:rFonts w:hint="eastAsia" w:eastAsia="宋体"/>
                <w:color w:val="auto"/>
                <w:sz w:val="22"/>
                <w:szCs w:val="22"/>
                <w:highlight w:val="none"/>
                <w:lang w:val="en-US" w:eastAsia="zh-CN"/>
              </w:rPr>
            </w:pPr>
            <w:r>
              <w:rPr>
                <w:rFonts w:hint="eastAsia"/>
                <w:color w:val="auto"/>
                <w:sz w:val="22"/>
                <w:szCs w:val="22"/>
                <w:highlight w:val="none"/>
                <w:lang w:val="en-US" w:eastAsia="zh-CN"/>
              </w:rPr>
              <w:t>10年一遇</w:t>
            </w:r>
          </w:p>
        </w:tc>
        <w:tc>
          <w:tcPr>
            <w:tcW w:w="1098" w:type="dxa"/>
            <w:vAlign w:val="center"/>
          </w:tcPr>
          <w:p>
            <w:pPr>
              <w:widowControl/>
              <w:spacing w:line="240" w:lineRule="atLeast"/>
              <w:ind w:firstLine="0" w:firstLineChars="0"/>
              <w:jc w:val="center"/>
              <w:rPr>
                <w:rFonts w:hint="default" w:eastAsia="宋体"/>
                <w:color w:val="auto"/>
                <w:sz w:val="22"/>
                <w:szCs w:val="22"/>
                <w:highlight w:val="none"/>
                <w:lang w:val="en-US" w:eastAsia="zh-CN"/>
              </w:rPr>
            </w:pPr>
            <w:r>
              <w:rPr>
                <w:rFonts w:hint="eastAsia"/>
                <w:color w:val="auto"/>
                <w:sz w:val="22"/>
                <w:szCs w:val="22"/>
                <w:highlight w:val="none"/>
                <w:lang w:val="en-US" w:eastAsia="zh-CN"/>
              </w:rPr>
              <w:t>1.52</w:t>
            </w:r>
          </w:p>
        </w:tc>
        <w:tc>
          <w:tcPr>
            <w:tcW w:w="941" w:type="dxa"/>
            <w:vAlign w:val="center"/>
          </w:tcPr>
          <w:p>
            <w:pPr>
              <w:widowControl/>
              <w:spacing w:line="240" w:lineRule="atLeast"/>
              <w:ind w:firstLine="0" w:firstLineChars="0"/>
              <w:jc w:val="center"/>
              <w:rPr>
                <w:rFonts w:hint="eastAsia"/>
                <w:color w:val="auto"/>
                <w:sz w:val="21"/>
                <w:szCs w:val="20"/>
                <w:highlight w:val="none"/>
                <w:lang w:val="en-US" w:eastAsia="zh-CN"/>
              </w:rPr>
            </w:pPr>
            <w:r>
              <w:rPr>
                <w:rFonts w:hint="eastAsia"/>
                <w:color w:val="auto"/>
                <w:sz w:val="21"/>
                <w:szCs w:val="20"/>
                <w:highlight w:val="none"/>
                <w:lang w:val="en-US" w:eastAsia="zh-CN"/>
              </w:rPr>
              <w:t>2.6</w:t>
            </w:r>
          </w:p>
        </w:tc>
        <w:tc>
          <w:tcPr>
            <w:tcW w:w="1086" w:type="dxa"/>
            <w:shd w:val="clear" w:color="auto" w:fill="auto"/>
            <w:vAlign w:val="center"/>
          </w:tcPr>
          <w:p>
            <w:pPr>
              <w:widowControl/>
              <w:spacing w:line="240" w:lineRule="atLeast"/>
              <w:ind w:firstLine="0" w:firstLineChars="0"/>
              <w:jc w:val="center"/>
              <w:rPr>
                <w:rFonts w:hint="eastAsia" w:eastAsia="宋体"/>
                <w:color w:val="auto"/>
                <w:sz w:val="22"/>
                <w:szCs w:val="22"/>
                <w:highlight w:val="none"/>
                <w:lang w:eastAsia="zh-CN"/>
              </w:rPr>
            </w:pPr>
            <w:r>
              <w:rPr>
                <w:rFonts w:hint="eastAsia"/>
                <w:color w:val="auto"/>
                <w:sz w:val="22"/>
                <w:szCs w:val="22"/>
                <w:highlight w:val="none"/>
                <w:lang w:eastAsia="zh-CN"/>
              </w:rPr>
              <w:t>满足</w:t>
            </w:r>
          </w:p>
        </w:tc>
      </w:tr>
    </w:tbl>
    <w:p>
      <w:pPr>
        <w:pStyle w:val="333"/>
        <w:numPr>
          <w:ilvl w:val="0"/>
          <w:numId w:val="0"/>
        </w:numPr>
        <w:ind w:leftChars="0"/>
        <w:jc w:val="center"/>
        <w:rPr>
          <w:rFonts w:hint="eastAsia"/>
          <w:color w:val="auto"/>
          <w:highlight w:val="none"/>
        </w:rPr>
      </w:pPr>
      <w:r>
        <w:rPr>
          <w:rFonts w:hint="eastAsia"/>
          <w:color w:val="auto"/>
          <w:highlight w:val="none"/>
          <w:lang w:eastAsia="zh-CN"/>
        </w:rPr>
        <w:t>表</w:t>
      </w:r>
      <w:r>
        <w:rPr>
          <w:rFonts w:hint="eastAsia"/>
          <w:color w:val="auto"/>
          <w:highlight w:val="none"/>
          <w:lang w:val="en-US" w:eastAsia="zh-CN"/>
        </w:rPr>
        <w:t xml:space="preserve">1-4 </w:t>
      </w:r>
      <w:r>
        <w:rPr>
          <w:rFonts w:hint="eastAsia"/>
          <w:color w:val="auto"/>
          <w:highlight w:val="none"/>
        </w:rPr>
        <w:t>交叉建筑物过流能力复核</w:t>
      </w:r>
    </w:p>
    <w:tbl>
      <w:tblPr>
        <w:tblStyle w:val="47"/>
        <w:tblW w:w="87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02"/>
        <w:gridCol w:w="1014"/>
        <w:gridCol w:w="982"/>
        <w:gridCol w:w="978"/>
        <w:gridCol w:w="1117"/>
        <w:gridCol w:w="1117"/>
        <w:gridCol w:w="835"/>
        <w:gridCol w:w="8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jc w:val="center"/>
        </w:trPr>
        <w:tc>
          <w:tcPr>
            <w:tcW w:w="1902" w:type="dxa"/>
            <w:shd w:val="clear" w:color="auto" w:fill="auto"/>
            <w:vAlign w:val="center"/>
          </w:tcPr>
          <w:p>
            <w:pPr>
              <w:pStyle w:val="272"/>
              <w:spacing w:line="240" w:lineRule="auto"/>
              <w:rPr>
                <w:color w:val="auto"/>
                <w:highlight w:val="none"/>
              </w:rPr>
            </w:pPr>
            <w:r>
              <w:rPr>
                <w:color w:val="auto"/>
                <w:highlight w:val="none"/>
              </w:rPr>
              <w:t>水闸名称</w:t>
            </w:r>
          </w:p>
        </w:tc>
        <w:tc>
          <w:tcPr>
            <w:tcW w:w="1014" w:type="dxa"/>
            <w:shd w:val="clear" w:color="auto" w:fill="auto"/>
            <w:vAlign w:val="center"/>
          </w:tcPr>
          <w:p>
            <w:pPr>
              <w:pStyle w:val="272"/>
              <w:spacing w:line="240" w:lineRule="auto"/>
              <w:rPr>
                <w:color w:val="auto"/>
                <w:highlight w:val="none"/>
              </w:rPr>
            </w:pPr>
            <w:r>
              <w:rPr>
                <w:color w:val="auto"/>
                <w:highlight w:val="none"/>
              </w:rPr>
              <w:t>所在桩号</w:t>
            </w:r>
          </w:p>
        </w:tc>
        <w:tc>
          <w:tcPr>
            <w:tcW w:w="982" w:type="dxa"/>
            <w:shd w:val="clear" w:color="auto" w:fill="auto"/>
            <w:vAlign w:val="center"/>
          </w:tcPr>
          <w:p>
            <w:pPr>
              <w:pStyle w:val="272"/>
              <w:spacing w:line="240" w:lineRule="auto"/>
              <w:rPr>
                <w:color w:val="auto"/>
                <w:highlight w:val="none"/>
              </w:rPr>
            </w:pPr>
            <w:r>
              <w:rPr>
                <w:color w:val="auto"/>
                <w:highlight w:val="none"/>
              </w:rPr>
              <w:t>集雨面积</w:t>
            </w:r>
            <w:r>
              <w:rPr>
                <w:rFonts w:hint="eastAsia"/>
                <w:color w:val="auto"/>
                <w:highlight w:val="none"/>
              </w:rPr>
              <w:t>(</w:t>
            </w:r>
            <w:r>
              <w:rPr>
                <w:color w:val="auto"/>
                <w:highlight w:val="none"/>
              </w:rPr>
              <w:t>k</w:t>
            </w:r>
            <w:r>
              <w:rPr>
                <w:rFonts w:hint="eastAsia"/>
                <w:color w:val="auto"/>
                <w:highlight w:val="none"/>
                <w:lang w:eastAsia="zh-CN"/>
              </w:rPr>
              <w:t>m²</w:t>
            </w:r>
            <w:r>
              <w:rPr>
                <w:color w:val="auto"/>
                <w:highlight w:val="none"/>
              </w:rPr>
              <w:t>)</w:t>
            </w:r>
          </w:p>
        </w:tc>
        <w:tc>
          <w:tcPr>
            <w:tcW w:w="978" w:type="dxa"/>
            <w:shd w:val="clear" w:color="auto" w:fill="auto"/>
            <w:vAlign w:val="center"/>
          </w:tcPr>
          <w:p>
            <w:pPr>
              <w:pStyle w:val="272"/>
              <w:spacing w:line="240" w:lineRule="auto"/>
              <w:rPr>
                <w:color w:val="auto"/>
                <w:highlight w:val="none"/>
              </w:rPr>
            </w:pPr>
            <w:r>
              <w:rPr>
                <w:rFonts w:hint="eastAsia"/>
                <w:color w:val="auto"/>
                <w:highlight w:val="none"/>
              </w:rPr>
              <w:t>特征河长(</w:t>
            </w:r>
            <w:r>
              <w:rPr>
                <w:color w:val="auto"/>
                <w:highlight w:val="none"/>
              </w:rPr>
              <w:t>m)</w:t>
            </w:r>
          </w:p>
        </w:tc>
        <w:tc>
          <w:tcPr>
            <w:tcW w:w="1117" w:type="dxa"/>
            <w:vAlign w:val="center"/>
          </w:tcPr>
          <w:p>
            <w:pPr>
              <w:pStyle w:val="272"/>
              <w:spacing w:line="240" w:lineRule="auto"/>
              <w:rPr>
                <w:color w:val="auto"/>
                <w:highlight w:val="none"/>
              </w:rPr>
            </w:pPr>
            <w:r>
              <w:rPr>
                <w:rFonts w:hint="eastAsia"/>
                <w:color w:val="auto"/>
                <w:highlight w:val="none"/>
              </w:rPr>
              <w:t>设计</w:t>
            </w:r>
            <w:r>
              <w:rPr>
                <w:color w:val="auto"/>
                <w:highlight w:val="none"/>
              </w:rPr>
              <w:t>标准</w:t>
            </w:r>
          </w:p>
        </w:tc>
        <w:tc>
          <w:tcPr>
            <w:tcW w:w="1117" w:type="dxa"/>
            <w:vAlign w:val="center"/>
          </w:tcPr>
          <w:p>
            <w:pPr>
              <w:pStyle w:val="272"/>
              <w:spacing w:line="240" w:lineRule="auto"/>
              <w:rPr>
                <w:color w:val="auto"/>
                <w:highlight w:val="none"/>
              </w:rPr>
            </w:pPr>
            <w:r>
              <w:rPr>
                <w:color w:val="auto"/>
                <w:highlight w:val="none"/>
              </w:rPr>
              <w:t>设计洪峰</w:t>
            </w:r>
            <w:r>
              <w:rPr>
                <w:rFonts w:hint="eastAsia"/>
                <w:color w:val="auto"/>
                <w:highlight w:val="none"/>
              </w:rPr>
              <w:t>(</w:t>
            </w:r>
            <w:r>
              <w:rPr>
                <w:rFonts w:hint="eastAsia"/>
                <w:color w:val="auto"/>
                <w:highlight w:val="none"/>
                <w:lang w:eastAsia="zh-CN"/>
              </w:rPr>
              <w:t>m³</w:t>
            </w:r>
            <w:r>
              <w:rPr>
                <w:color w:val="auto"/>
                <w:highlight w:val="none"/>
              </w:rPr>
              <w:t>/s)</w:t>
            </w:r>
          </w:p>
        </w:tc>
        <w:tc>
          <w:tcPr>
            <w:tcW w:w="835" w:type="dxa"/>
            <w:vAlign w:val="center"/>
          </w:tcPr>
          <w:p>
            <w:pPr>
              <w:pStyle w:val="272"/>
              <w:spacing w:line="240" w:lineRule="auto"/>
              <w:rPr>
                <w:color w:val="auto"/>
                <w:highlight w:val="none"/>
              </w:rPr>
            </w:pPr>
            <w:r>
              <w:rPr>
                <w:rFonts w:hint="eastAsia"/>
                <w:color w:val="auto"/>
                <w:highlight w:val="none"/>
              </w:rPr>
              <w:t>净宽(</w:t>
            </w:r>
            <w:r>
              <w:rPr>
                <w:color w:val="auto"/>
                <w:highlight w:val="none"/>
              </w:rPr>
              <w:t>m)</w:t>
            </w:r>
          </w:p>
        </w:tc>
        <w:tc>
          <w:tcPr>
            <w:tcW w:w="832" w:type="dxa"/>
            <w:shd w:val="clear" w:color="auto" w:fill="auto"/>
            <w:vAlign w:val="center"/>
          </w:tcPr>
          <w:p>
            <w:pPr>
              <w:pStyle w:val="272"/>
              <w:spacing w:line="240" w:lineRule="auto"/>
              <w:rPr>
                <w:color w:val="auto"/>
                <w:highlight w:val="none"/>
              </w:rPr>
            </w:pPr>
            <w:r>
              <w:rPr>
                <w:rFonts w:hint="eastAsia"/>
                <w:color w:val="auto"/>
                <w:highlight w:val="none"/>
              </w:rPr>
              <w:t>过流能力</w:t>
            </w:r>
            <w:r>
              <w:rPr>
                <w:color w:val="auto"/>
                <w:highlight w:val="none"/>
              </w:rPr>
              <w:t>复核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902" w:type="dxa"/>
            <w:shd w:val="clear" w:color="auto" w:fill="auto"/>
            <w:vAlign w:val="center"/>
          </w:tcPr>
          <w:p>
            <w:pPr>
              <w:pStyle w:val="272"/>
              <w:spacing w:line="240" w:lineRule="auto"/>
              <w:ind w:firstLine="0" w:firstLineChars="0"/>
              <w:rPr>
                <w:color w:val="auto"/>
                <w:highlight w:val="none"/>
              </w:rPr>
            </w:pPr>
            <w:r>
              <w:rPr>
                <w:rFonts w:hint="eastAsia"/>
                <w:color w:val="auto"/>
                <w:highlight w:val="none"/>
                <w:lang w:val="en-US" w:eastAsia="zh-CN"/>
              </w:rPr>
              <w:t>1#</w:t>
            </w:r>
            <w:r>
              <w:rPr>
                <w:color w:val="auto"/>
                <w:highlight w:val="none"/>
              </w:rPr>
              <w:t>泄洪闸</w:t>
            </w:r>
          </w:p>
        </w:tc>
        <w:tc>
          <w:tcPr>
            <w:tcW w:w="1014" w:type="dxa"/>
            <w:shd w:val="clear" w:color="auto" w:fill="auto"/>
            <w:vAlign w:val="center"/>
          </w:tcPr>
          <w:p>
            <w:pPr>
              <w:pStyle w:val="272"/>
              <w:spacing w:line="240" w:lineRule="auto"/>
              <w:ind w:firstLine="0" w:firstLineChars="0"/>
              <w:rPr>
                <w:color w:val="auto"/>
                <w:highlight w:val="none"/>
              </w:rPr>
            </w:pPr>
            <w:r>
              <w:rPr>
                <w:rFonts w:hint="eastAsia"/>
                <w:color w:val="auto"/>
                <w:highlight w:val="none"/>
                <w:lang w:val="en-US" w:eastAsia="zh-CN"/>
              </w:rPr>
              <w:t>0+005</w:t>
            </w:r>
          </w:p>
        </w:tc>
        <w:tc>
          <w:tcPr>
            <w:tcW w:w="982" w:type="dxa"/>
            <w:shd w:val="clear" w:color="auto" w:fill="auto"/>
            <w:vAlign w:val="center"/>
          </w:tcPr>
          <w:p>
            <w:pPr>
              <w:pStyle w:val="272"/>
              <w:spacing w:line="240" w:lineRule="auto"/>
              <w:ind w:firstLine="0" w:firstLineChars="0"/>
              <w:rPr>
                <w:rFonts w:hint="default" w:eastAsia="等线"/>
                <w:color w:val="auto"/>
                <w:szCs w:val="22"/>
                <w:highlight w:val="none"/>
                <w:lang w:val="en-US"/>
              </w:rPr>
            </w:pPr>
            <w:r>
              <w:rPr>
                <w:rFonts w:hint="eastAsia" w:eastAsia="等线"/>
                <w:color w:val="auto"/>
                <w:szCs w:val="22"/>
                <w:highlight w:val="none"/>
                <w:lang w:val="en-US" w:eastAsia="zh-CN"/>
              </w:rPr>
              <w:t>0.27</w:t>
            </w:r>
          </w:p>
        </w:tc>
        <w:tc>
          <w:tcPr>
            <w:tcW w:w="978" w:type="dxa"/>
            <w:shd w:val="clear" w:color="auto" w:fill="auto"/>
            <w:vAlign w:val="center"/>
          </w:tcPr>
          <w:p>
            <w:pPr>
              <w:widowControl/>
              <w:spacing w:line="240" w:lineRule="atLeast"/>
              <w:ind w:firstLine="0" w:firstLineChars="0"/>
              <w:jc w:val="center"/>
              <w:rPr>
                <w:color w:val="auto"/>
                <w:highlight w:val="none"/>
              </w:rPr>
            </w:pPr>
            <w:r>
              <w:rPr>
                <w:rFonts w:hint="eastAsia"/>
                <w:color w:val="auto"/>
                <w:sz w:val="22"/>
                <w:szCs w:val="22"/>
                <w:highlight w:val="none"/>
                <w:lang w:val="en-US" w:eastAsia="zh-CN"/>
              </w:rPr>
              <w:t>610</w:t>
            </w:r>
          </w:p>
        </w:tc>
        <w:tc>
          <w:tcPr>
            <w:tcW w:w="1117" w:type="dxa"/>
            <w:vAlign w:val="center"/>
          </w:tcPr>
          <w:p>
            <w:pPr>
              <w:pStyle w:val="272"/>
              <w:spacing w:line="240" w:lineRule="auto"/>
              <w:ind w:firstLine="0" w:firstLineChars="0"/>
              <w:rPr>
                <w:color w:val="auto"/>
                <w:highlight w:val="none"/>
              </w:rPr>
            </w:pPr>
            <w:r>
              <w:rPr>
                <w:color w:val="auto"/>
                <w:highlight w:val="none"/>
              </w:rPr>
              <w:t>10年一遇</w:t>
            </w:r>
          </w:p>
        </w:tc>
        <w:tc>
          <w:tcPr>
            <w:tcW w:w="1117" w:type="dxa"/>
            <w:vAlign w:val="center"/>
          </w:tcPr>
          <w:p>
            <w:pPr>
              <w:pStyle w:val="272"/>
              <w:spacing w:line="240" w:lineRule="auto"/>
              <w:ind w:firstLine="0" w:firstLineChars="0"/>
              <w:rPr>
                <w:rFonts w:hint="default" w:eastAsia="等线"/>
                <w:color w:val="auto"/>
                <w:szCs w:val="22"/>
                <w:highlight w:val="none"/>
                <w:lang w:val="en-US"/>
              </w:rPr>
            </w:pPr>
            <w:r>
              <w:rPr>
                <w:rFonts w:hint="eastAsia" w:eastAsia="等线"/>
                <w:color w:val="auto"/>
                <w:szCs w:val="22"/>
                <w:highlight w:val="none"/>
                <w:lang w:val="en-US" w:eastAsia="zh-CN"/>
              </w:rPr>
              <w:t>3.64</w:t>
            </w:r>
          </w:p>
        </w:tc>
        <w:tc>
          <w:tcPr>
            <w:tcW w:w="835" w:type="dxa"/>
            <w:vAlign w:val="center"/>
          </w:tcPr>
          <w:p>
            <w:pPr>
              <w:pStyle w:val="272"/>
              <w:spacing w:line="240" w:lineRule="auto"/>
              <w:rPr>
                <w:rFonts w:hint="default" w:eastAsia="宋体"/>
                <w:color w:val="auto"/>
                <w:highlight w:val="none"/>
                <w:lang w:val="en-US" w:eastAsia="zh-CN"/>
              </w:rPr>
            </w:pPr>
            <w:r>
              <w:rPr>
                <w:rFonts w:hint="eastAsia"/>
                <w:color w:val="auto"/>
                <w:highlight w:val="none"/>
                <w:lang w:val="en-US" w:eastAsia="zh-CN"/>
              </w:rPr>
              <w:t>2.0</w:t>
            </w:r>
          </w:p>
        </w:tc>
        <w:tc>
          <w:tcPr>
            <w:tcW w:w="832" w:type="dxa"/>
            <w:shd w:val="clear" w:color="auto" w:fill="auto"/>
            <w:vAlign w:val="center"/>
          </w:tcPr>
          <w:p>
            <w:pPr>
              <w:pStyle w:val="272"/>
              <w:spacing w:line="240" w:lineRule="auto"/>
              <w:rPr>
                <w:color w:val="auto"/>
                <w:highlight w:val="none"/>
              </w:rPr>
            </w:pPr>
            <w:r>
              <w:rPr>
                <w:rFonts w:hint="eastAsia"/>
                <w:color w:val="auto"/>
                <w:highlight w:val="none"/>
              </w:rPr>
              <w:t>满足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902" w:type="dxa"/>
            <w:shd w:val="clear" w:color="auto" w:fill="auto"/>
            <w:vAlign w:val="center"/>
          </w:tcPr>
          <w:p>
            <w:pPr>
              <w:pStyle w:val="272"/>
              <w:spacing w:line="240" w:lineRule="auto"/>
              <w:ind w:firstLine="0" w:firstLineChars="0"/>
              <w:rPr>
                <w:color w:val="auto"/>
                <w:highlight w:val="none"/>
              </w:rPr>
            </w:pPr>
            <w:r>
              <w:rPr>
                <w:rFonts w:hint="eastAsia"/>
                <w:color w:val="auto"/>
                <w:highlight w:val="none"/>
                <w:lang w:val="en-US" w:eastAsia="zh-CN"/>
              </w:rPr>
              <w:t>2#</w:t>
            </w:r>
            <w:r>
              <w:rPr>
                <w:color w:val="auto"/>
                <w:highlight w:val="none"/>
              </w:rPr>
              <w:t>泄洪闸</w:t>
            </w:r>
          </w:p>
        </w:tc>
        <w:tc>
          <w:tcPr>
            <w:tcW w:w="1014" w:type="dxa"/>
            <w:shd w:val="clear" w:color="auto" w:fill="auto"/>
            <w:vAlign w:val="center"/>
          </w:tcPr>
          <w:p>
            <w:pPr>
              <w:pStyle w:val="272"/>
              <w:spacing w:line="240" w:lineRule="auto"/>
              <w:ind w:firstLine="0" w:firstLineChars="0"/>
              <w:rPr>
                <w:color w:val="auto"/>
                <w:highlight w:val="none"/>
              </w:rPr>
            </w:pPr>
            <w:r>
              <w:rPr>
                <w:rFonts w:hint="eastAsia"/>
                <w:color w:val="auto"/>
                <w:highlight w:val="none"/>
                <w:lang w:val="en-US" w:eastAsia="zh-CN"/>
              </w:rPr>
              <w:t>0+100</w:t>
            </w:r>
          </w:p>
        </w:tc>
        <w:tc>
          <w:tcPr>
            <w:tcW w:w="982" w:type="dxa"/>
            <w:shd w:val="clear" w:color="auto" w:fill="auto"/>
            <w:vAlign w:val="center"/>
          </w:tcPr>
          <w:p>
            <w:pPr>
              <w:pStyle w:val="272"/>
              <w:spacing w:line="240" w:lineRule="auto"/>
              <w:ind w:firstLine="0" w:firstLineChars="0"/>
              <w:rPr>
                <w:rFonts w:eastAsia="等线"/>
                <w:color w:val="auto"/>
                <w:szCs w:val="22"/>
                <w:highlight w:val="none"/>
              </w:rPr>
            </w:pPr>
            <w:r>
              <w:rPr>
                <w:rFonts w:hint="eastAsia" w:eastAsia="等线"/>
                <w:color w:val="auto"/>
                <w:szCs w:val="22"/>
                <w:highlight w:val="none"/>
                <w:lang w:val="en-US" w:eastAsia="zh-CN"/>
              </w:rPr>
              <w:t>0.17</w:t>
            </w:r>
          </w:p>
        </w:tc>
        <w:tc>
          <w:tcPr>
            <w:tcW w:w="978" w:type="dxa"/>
            <w:shd w:val="clear" w:color="auto" w:fill="auto"/>
            <w:vAlign w:val="center"/>
          </w:tcPr>
          <w:p>
            <w:pPr>
              <w:widowControl/>
              <w:spacing w:line="240" w:lineRule="atLeast"/>
              <w:ind w:firstLine="0" w:firstLineChars="0"/>
              <w:jc w:val="center"/>
              <w:rPr>
                <w:color w:val="auto"/>
                <w:highlight w:val="none"/>
              </w:rPr>
            </w:pPr>
            <w:r>
              <w:rPr>
                <w:rFonts w:hint="eastAsia"/>
                <w:color w:val="auto"/>
                <w:sz w:val="22"/>
                <w:szCs w:val="22"/>
                <w:highlight w:val="none"/>
                <w:lang w:val="en-US" w:eastAsia="zh-CN"/>
              </w:rPr>
              <w:t>100</w:t>
            </w:r>
          </w:p>
        </w:tc>
        <w:tc>
          <w:tcPr>
            <w:tcW w:w="1117" w:type="dxa"/>
            <w:vAlign w:val="center"/>
          </w:tcPr>
          <w:p>
            <w:pPr>
              <w:pStyle w:val="272"/>
              <w:spacing w:line="240" w:lineRule="auto"/>
              <w:ind w:firstLine="0" w:firstLineChars="0"/>
              <w:rPr>
                <w:color w:val="auto"/>
                <w:highlight w:val="none"/>
              </w:rPr>
            </w:pPr>
            <w:r>
              <w:rPr>
                <w:color w:val="auto"/>
                <w:highlight w:val="none"/>
              </w:rPr>
              <w:t>10年一遇</w:t>
            </w:r>
          </w:p>
        </w:tc>
        <w:tc>
          <w:tcPr>
            <w:tcW w:w="1117" w:type="dxa"/>
            <w:vAlign w:val="center"/>
          </w:tcPr>
          <w:p>
            <w:pPr>
              <w:pStyle w:val="272"/>
              <w:spacing w:line="240" w:lineRule="auto"/>
              <w:ind w:firstLine="0" w:firstLineChars="0"/>
              <w:rPr>
                <w:rFonts w:eastAsia="等线"/>
                <w:color w:val="auto"/>
                <w:szCs w:val="22"/>
                <w:highlight w:val="none"/>
              </w:rPr>
            </w:pPr>
            <w:r>
              <w:rPr>
                <w:rFonts w:hint="eastAsia" w:eastAsia="等线"/>
                <w:color w:val="auto"/>
                <w:szCs w:val="22"/>
                <w:highlight w:val="none"/>
                <w:lang w:val="en-US" w:eastAsia="zh-CN"/>
              </w:rPr>
              <w:t>2.21</w:t>
            </w:r>
          </w:p>
        </w:tc>
        <w:tc>
          <w:tcPr>
            <w:tcW w:w="835" w:type="dxa"/>
            <w:vAlign w:val="center"/>
          </w:tcPr>
          <w:p>
            <w:pPr>
              <w:pStyle w:val="272"/>
              <w:spacing w:line="240" w:lineRule="auto"/>
              <w:rPr>
                <w:rFonts w:hint="default" w:eastAsia="宋体"/>
                <w:color w:val="auto"/>
                <w:highlight w:val="none"/>
                <w:lang w:val="en-US" w:eastAsia="zh-CN"/>
              </w:rPr>
            </w:pPr>
            <w:r>
              <w:rPr>
                <w:rFonts w:hint="eastAsia"/>
                <w:color w:val="auto"/>
                <w:highlight w:val="none"/>
                <w:lang w:val="en-US" w:eastAsia="zh-CN"/>
              </w:rPr>
              <w:t>2.0</w:t>
            </w:r>
          </w:p>
        </w:tc>
        <w:tc>
          <w:tcPr>
            <w:tcW w:w="832" w:type="dxa"/>
            <w:shd w:val="clear" w:color="auto" w:fill="auto"/>
            <w:vAlign w:val="center"/>
          </w:tcPr>
          <w:p>
            <w:pPr>
              <w:pStyle w:val="272"/>
              <w:spacing w:line="240" w:lineRule="auto"/>
              <w:rPr>
                <w:color w:val="auto"/>
                <w:highlight w:val="none"/>
              </w:rPr>
            </w:pPr>
            <w:r>
              <w:rPr>
                <w:rFonts w:hint="eastAsia"/>
                <w:color w:val="auto"/>
                <w:highlight w:val="none"/>
              </w:rPr>
              <w:t>满足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902" w:type="dxa"/>
            <w:shd w:val="clear" w:color="auto" w:fill="auto"/>
            <w:vAlign w:val="center"/>
          </w:tcPr>
          <w:p>
            <w:pPr>
              <w:pStyle w:val="272"/>
              <w:spacing w:line="240" w:lineRule="auto"/>
              <w:ind w:firstLine="0" w:firstLineChars="0"/>
              <w:rPr>
                <w:rFonts w:hint="eastAsia" w:eastAsia="宋体"/>
                <w:color w:val="auto"/>
                <w:highlight w:val="none"/>
                <w:lang w:eastAsia="zh-CN"/>
              </w:rPr>
            </w:pPr>
            <w:r>
              <w:rPr>
                <w:rFonts w:hint="eastAsia"/>
                <w:color w:val="auto"/>
                <w:highlight w:val="none"/>
                <w:lang w:val="en-US" w:eastAsia="zh-CN"/>
              </w:rPr>
              <w:t>3#</w:t>
            </w:r>
            <w:r>
              <w:rPr>
                <w:rFonts w:hint="eastAsia"/>
                <w:color w:val="auto"/>
                <w:highlight w:val="none"/>
                <w:lang w:eastAsia="zh-CN"/>
              </w:rPr>
              <w:t>泄洪闸</w:t>
            </w:r>
          </w:p>
        </w:tc>
        <w:tc>
          <w:tcPr>
            <w:tcW w:w="1014" w:type="dxa"/>
            <w:shd w:val="clear" w:color="auto" w:fill="auto"/>
            <w:vAlign w:val="center"/>
          </w:tcPr>
          <w:p>
            <w:pPr>
              <w:pStyle w:val="272"/>
              <w:spacing w:line="240" w:lineRule="auto"/>
              <w:ind w:firstLine="0" w:firstLineChars="0"/>
              <w:rPr>
                <w:color w:val="auto"/>
                <w:highlight w:val="none"/>
              </w:rPr>
            </w:pPr>
            <w:r>
              <w:rPr>
                <w:rFonts w:hint="eastAsia"/>
                <w:color w:val="auto"/>
                <w:highlight w:val="none"/>
                <w:lang w:val="en-US" w:eastAsia="zh-CN"/>
              </w:rPr>
              <w:t>1+000</w:t>
            </w:r>
          </w:p>
        </w:tc>
        <w:tc>
          <w:tcPr>
            <w:tcW w:w="982" w:type="dxa"/>
            <w:shd w:val="clear" w:color="auto" w:fill="auto"/>
            <w:vAlign w:val="center"/>
          </w:tcPr>
          <w:p>
            <w:pPr>
              <w:pStyle w:val="272"/>
              <w:spacing w:line="240" w:lineRule="auto"/>
              <w:ind w:firstLine="0" w:firstLineChars="0"/>
              <w:rPr>
                <w:rFonts w:eastAsia="等线"/>
                <w:color w:val="auto"/>
                <w:szCs w:val="22"/>
                <w:highlight w:val="none"/>
              </w:rPr>
            </w:pPr>
            <w:r>
              <w:rPr>
                <w:rFonts w:hint="eastAsia" w:eastAsia="等线"/>
                <w:color w:val="auto"/>
                <w:szCs w:val="22"/>
                <w:highlight w:val="none"/>
                <w:lang w:val="en-US" w:eastAsia="zh-CN"/>
              </w:rPr>
              <w:t>0.24</w:t>
            </w:r>
          </w:p>
        </w:tc>
        <w:tc>
          <w:tcPr>
            <w:tcW w:w="978" w:type="dxa"/>
            <w:shd w:val="clear" w:color="auto" w:fill="auto"/>
            <w:vAlign w:val="center"/>
          </w:tcPr>
          <w:p>
            <w:pPr>
              <w:widowControl/>
              <w:spacing w:line="240" w:lineRule="atLeast"/>
              <w:ind w:firstLine="0" w:firstLineChars="0"/>
              <w:jc w:val="center"/>
              <w:rPr>
                <w:color w:val="auto"/>
                <w:highlight w:val="none"/>
              </w:rPr>
            </w:pPr>
            <w:r>
              <w:rPr>
                <w:rFonts w:hint="eastAsia"/>
                <w:color w:val="auto"/>
                <w:sz w:val="21"/>
                <w:szCs w:val="20"/>
                <w:highlight w:val="none"/>
                <w:lang w:val="en-US" w:eastAsia="zh-CN"/>
              </w:rPr>
              <w:t>900</w:t>
            </w:r>
          </w:p>
        </w:tc>
        <w:tc>
          <w:tcPr>
            <w:tcW w:w="1117" w:type="dxa"/>
            <w:vAlign w:val="center"/>
          </w:tcPr>
          <w:p>
            <w:pPr>
              <w:pStyle w:val="272"/>
              <w:spacing w:line="240" w:lineRule="auto"/>
              <w:ind w:firstLine="0" w:firstLineChars="0"/>
              <w:rPr>
                <w:rFonts w:eastAsia="等线"/>
                <w:color w:val="auto"/>
                <w:szCs w:val="22"/>
                <w:highlight w:val="none"/>
              </w:rPr>
            </w:pPr>
            <w:r>
              <w:rPr>
                <w:color w:val="auto"/>
                <w:highlight w:val="none"/>
              </w:rPr>
              <w:t>10年一遇</w:t>
            </w:r>
          </w:p>
        </w:tc>
        <w:tc>
          <w:tcPr>
            <w:tcW w:w="1117" w:type="dxa"/>
            <w:vAlign w:val="center"/>
          </w:tcPr>
          <w:p>
            <w:pPr>
              <w:pStyle w:val="272"/>
              <w:spacing w:line="240" w:lineRule="auto"/>
              <w:ind w:firstLine="0" w:firstLineChars="0"/>
              <w:rPr>
                <w:rFonts w:eastAsia="等线"/>
                <w:color w:val="auto"/>
                <w:szCs w:val="22"/>
                <w:highlight w:val="none"/>
              </w:rPr>
            </w:pPr>
            <w:r>
              <w:rPr>
                <w:rFonts w:hint="eastAsia" w:eastAsia="等线"/>
                <w:color w:val="auto"/>
                <w:szCs w:val="22"/>
                <w:highlight w:val="none"/>
                <w:lang w:val="en-US" w:eastAsia="zh-CN"/>
              </w:rPr>
              <w:t>3.12</w:t>
            </w:r>
          </w:p>
        </w:tc>
        <w:tc>
          <w:tcPr>
            <w:tcW w:w="835" w:type="dxa"/>
            <w:vAlign w:val="center"/>
          </w:tcPr>
          <w:p>
            <w:pPr>
              <w:pStyle w:val="272"/>
              <w:spacing w:line="240" w:lineRule="auto"/>
              <w:rPr>
                <w:rFonts w:hint="default" w:eastAsia="宋体"/>
                <w:color w:val="auto"/>
                <w:highlight w:val="none"/>
                <w:lang w:val="en-US" w:eastAsia="zh-CN"/>
              </w:rPr>
            </w:pPr>
            <w:r>
              <w:rPr>
                <w:rFonts w:hint="eastAsia"/>
                <w:color w:val="auto"/>
                <w:highlight w:val="none"/>
                <w:lang w:val="en-US" w:eastAsia="zh-CN"/>
              </w:rPr>
              <w:t>2.0</w:t>
            </w:r>
          </w:p>
        </w:tc>
        <w:tc>
          <w:tcPr>
            <w:tcW w:w="832" w:type="dxa"/>
            <w:shd w:val="clear" w:color="auto" w:fill="auto"/>
            <w:vAlign w:val="center"/>
          </w:tcPr>
          <w:p>
            <w:pPr>
              <w:pStyle w:val="272"/>
              <w:spacing w:line="240" w:lineRule="auto"/>
              <w:rPr>
                <w:color w:val="auto"/>
                <w:highlight w:val="none"/>
              </w:rPr>
            </w:pPr>
            <w:r>
              <w:rPr>
                <w:rFonts w:hint="eastAsia"/>
                <w:color w:val="auto"/>
                <w:highlight w:val="none"/>
              </w:rPr>
              <w:t>满足</w:t>
            </w:r>
          </w:p>
        </w:tc>
      </w:tr>
    </w:tbl>
    <w:p>
      <w:pPr>
        <w:pStyle w:val="335"/>
        <w:spacing w:before="120" w:after="120"/>
        <w:rPr>
          <w:color w:val="auto"/>
          <w:highlight w:val="none"/>
        </w:rPr>
      </w:pPr>
      <w:r>
        <w:rPr>
          <w:rFonts w:hint="eastAsia"/>
          <w:color w:val="auto"/>
          <w:highlight w:val="none"/>
        </w:rPr>
        <w:t>1.4.5 灌溉能力计算</w:t>
      </w:r>
    </w:p>
    <w:p>
      <w:pPr>
        <w:ind w:firstLine="480"/>
        <w:rPr>
          <w:color w:val="auto"/>
          <w:highlight w:val="none"/>
        </w:rPr>
      </w:pPr>
      <w:r>
        <w:rPr>
          <w:rFonts w:hint="eastAsia"/>
          <w:color w:val="auto"/>
          <w:highlight w:val="none"/>
        </w:rPr>
        <w:t>（1）灌溉设计保证率</w:t>
      </w:r>
    </w:p>
    <w:bookmarkEnd w:id="51"/>
    <w:p>
      <w:pPr>
        <w:ind w:firstLine="480"/>
        <w:rPr>
          <w:color w:val="auto"/>
          <w:highlight w:val="none"/>
        </w:rPr>
      </w:pPr>
      <w:bookmarkStart w:id="52" w:name="_Toc536295022"/>
      <w:r>
        <w:rPr>
          <w:color w:val="auto"/>
          <w:highlight w:val="none"/>
        </w:rPr>
        <w:t>根据《灌溉与排水工程设计</w:t>
      </w:r>
      <w:r>
        <w:rPr>
          <w:rFonts w:hint="eastAsia"/>
          <w:color w:val="auto"/>
          <w:highlight w:val="none"/>
        </w:rPr>
        <w:t>标准</w:t>
      </w:r>
      <w:r>
        <w:rPr>
          <w:color w:val="auto"/>
          <w:highlight w:val="none"/>
        </w:rPr>
        <w:t>》（GB50288-2018），广州属湿润丰水地区，灌溉设计保证率选用80</w:t>
      </w:r>
      <w:r>
        <w:rPr>
          <w:rFonts w:hint="eastAsia"/>
          <w:color w:val="auto"/>
          <w:highlight w:val="none"/>
        </w:rPr>
        <w:t>%</w:t>
      </w:r>
      <w:r>
        <w:rPr>
          <w:color w:val="auto"/>
          <w:highlight w:val="none"/>
        </w:rPr>
        <w:t>~95%，参考《广州市流溪河综合整治规划》、《广州市江河流域（区域）综合规划》，本工程</w:t>
      </w:r>
      <w:r>
        <w:rPr>
          <w:rFonts w:hint="eastAsia"/>
          <w:color w:val="auto"/>
          <w:highlight w:val="none"/>
          <w:lang w:eastAsia="zh-CN"/>
        </w:rPr>
        <w:t>南大水库灌区干渠</w:t>
      </w:r>
      <w:r>
        <w:rPr>
          <w:color w:val="auto"/>
          <w:highlight w:val="none"/>
        </w:rPr>
        <w:t>灌溉设计保证率取90%。</w:t>
      </w:r>
    </w:p>
    <w:p>
      <w:pPr>
        <w:ind w:firstLine="480"/>
        <w:rPr>
          <w:color w:val="auto"/>
          <w:highlight w:val="none"/>
        </w:rPr>
      </w:pPr>
      <w:r>
        <w:rPr>
          <w:rFonts w:hint="eastAsia"/>
          <w:color w:val="auto"/>
          <w:highlight w:val="none"/>
        </w:rPr>
        <w:t>（2）供需水量平衡</w:t>
      </w:r>
      <w:bookmarkEnd w:id="52"/>
    </w:p>
    <w:p>
      <w:pPr>
        <w:ind w:firstLine="480"/>
        <w:rPr>
          <w:rFonts w:hint="eastAsia"/>
          <w:color w:val="auto"/>
          <w:highlight w:val="none"/>
          <w:lang w:eastAsia="zh-CN"/>
        </w:rPr>
      </w:pPr>
      <w:r>
        <w:rPr>
          <w:rFonts w:hint="eastAsia"/>
          <w:color w:val="auto"/>
          <w:highlight w:val="none"/>
          <w:lang w:eastAsia="zh-CN"/>
        </w:rPr>
        <w:t>根据从化区农科所实测资料所得，从化区灌溉制度一万亩为Q=1.089m</w:t>
      </w:r>
      <w:r>
        <w:rPr>
          <w:rFonts w:hint="eastAsia"/>
          <w:color w:val="auto"/>
          <w:highlight w:val="none"/>
          <w:lang w:val="en-US" w:eastAsia="zh-CN"/>
        </w:rPr>
        <w:t>³</w:t>
      </w:r>
      <w:r>
        <w:rPr>
          <w:rFonts w:hint="eastAsia"/>
          <w:color w:val="auto"/>
          <w:highlight w:val="none"/>
          <w:lang w:eastAsia="zh-CN"/>
        </w:rPr>
        <w:t>/s。本工程采用从化区农科所实测资料，设计灌水率为</w:t>
      </w:r>
      <w:r>
        <w:rPr>
          <w:rFonts w:hint="eastAsia"/>
          <w:color w:val="auto"/>
          <w:highlight w:val="none"/>
          <w:lang w:val="en-US" w:eastAsia="zh-CN"/>
        </w:rPr>
        <w:t>1.089</w:t>
      </w:r>
      <w:r>
        <w:rPr>
          <w:rFonts w:hint="eastAsia"/>
          <w:color w:val="auto"/>
          <w:highlight w:val="none"/>
          <w:lang w:eastAsia="zh-CN"/>
        </w:rPr>
        <w:t>m</w:t>
      </w:r>
      <w:r>
        <w:rPr>
          <w:rFonts w:hint="eastAsia"/>
          <w:color w:val="auto"/>
          <w:highlight w:val="none"/>
          <w:lang w:val="en-US" w:eastAsia="zh-CN"/>
        </w:rPr>
        <w:t>³</w:t>
      </w:r>
      <w:r>
        <w:rPr>
          <w:rFonts w:hint="eastAsia"/>
          <w:color w:val="auto"/>
          <w:highlight w:val="none"/>
          <w:lang w:eastAsia="zh-CN"/>
        </w:rPr>
        <w:t>/s/万亩。</w:t>
      </w:r>
    </w:p>
    <w:p>
      <w:pPr>
        <w:ind w:firstLine="480"/>
        <w:rPr>
          <w:color w:val="auto"/>
          <w:kern w:val="0"/>
          <w:highlight w:val="none"/>
          <w:lang w:bidi="en-US"/>
        </w:rPr>
      </w:pPr>
      <w:r>
        <w:rPr>
          <w:rFonts w:hint="default"/>
          <w:color w:val="auto"/>
          <w:highlight w:val="none"/>
          <w:lang w:val="en-US" w:eastAsia="zh-CN"/>
        </w:rPr>
        <w:t>根据《广州</w:t>
      </w:r>
      <w:r>
        <w:rPr>
          <w:rFonts w:hint="eastAsia"/>
          <w:color w:val="auto"/>
          <w:highlight w:val="none"/>
          <w:lang w:val="en-US" w:eastAsia="zh-CN"/>
        </w:rPr>
        <w:t>省</w:t>
      </w:r>
      <w:r>
        <w:rPr>
          <w:rFonts w:hint="default"/>
          <w:color w:val="auto"/>
          <w:highlight w:val="none"/>
          <w:lang w:val="en-US" w:eastAsia="zh-CN"/>
        </w:rPr>
        <w:t>山区小型灌区改造工程规划（2011-2020年）》</w:t>
      </w:r>
      <w:r>
        <w:rPr>
          <w:rFonts w:hint="eastAsia"/>
          <w:color w:val="auto"/>
          <w:highlight w:val="none"/>
          <w:lang w:val="en-US" w:eastAsia="zh-CN"/>
        </w:rPr>
        <w:t>（粤水农水[2012]2号），</w:t>
      </w:r>
      <w:r>
        <w:rPr>
          <w:rFonts w:hint="eastAsia"/>
          <w:color w:val="auto"/>
          <w:highlight w:val="none"/>
          <w:lang w:eastAsia="zh-CN"/>
        </w:rPr>
        <w:t>南大水库灌区干渠设计灌溉面积为</w:t>
      </w:r>
      <w:r>
        <w:rPr>
          <w:rFonts w:hint="eastAsia"/>
          <w:color w:val="auto"/>
          <w:highlight w:val="none"/>
          <w:lang w:val="en-US" w:eastAsia="zh-CN"/>
        </w:rPr>
        <w:t>8900</w:t>
      </w:r>
      <w:r>
        <w:rPr>
          <w:rFonts w:hint="eastAsia"/>
          <w:color w:val="auto"/>
          <w:highlight w:val="none"/>
          <w:lang w:eastAsia="zh-CN"/>
        </w:rPr>
        <w:t>亩，净灌溉定额546m³/亩，净灌溉需水量为1747.2万m³</w:t>
      </w:r>
      <w:r>
        <w:rPr>
          <w:rFonts w:hint="eastAsia"/>
          <w:color w:val="auto"/>
          <w:kern w:val="0"/>
          <w:highlight w:val="none"/>
          <w:lang w:bidi="en-US"/>
        </w:rPr>
        <w:t>，毛需水量</w:t>
      </w:r>
      <w:r>
        <w:rPr>
          <w:rFonts w:hint="eastAsia"/>
          <w:color w:val="auto"/>
          <w:kern w:val="0"/>
          <w:highlight w:val="none"/>
          <w:lang w:val="en-US" w:eastAsia="zh-CN" w:bidi="en-US"/>
        </w:rPr>
        <w:t>786.3</w:t>
      </w:r>
      <w:r>
        <w:rPr>
          <w:rFonts w:hint="eastAsia"/>
          <w:color w:val="auto"/>
          <w:kern w:val="0"/>
          <w:highlight w:val="none"/>
          <w:lang w:bidi="en-US"/>
        </w:rPr>
        <w:t>万</w:t>
      </w:r>
      <w:r>
        <w:rPr>
          <w:rFonts w:hint="eastAsia"/>
          <w:color w:val="auto"/>
          <w:kern w:val="0"/>
          <w:highlight w:val="none"/>
          <w:lang w:eastAsia="zh-CN" w:bidi="en-US"/>
        </w:rPr>
        <w:t>m³</w:t>
      </w:r>
      <w:r>
        <w:rPr>
          <w:rFonts w:hint="eastAsia"/>
          <w:color w:val="auto"/>
          <w:kern w:val="0"/>
          <w:highlight w:val="none"/>
          <w:lang w:bidi="en-US"/>
        </w:rPr>
        <w:t>。</w:t>
      </w:r>
      <w:r>
        <w:rPr>
          <w:rFonts w:hint="eastAsia"/>
          <w:color w:val="auto"/>
          <w:highlight w:val="none"/>
          <w:lang w:eastAsia="zh-CN"/>
        </w:rPr>
        <w:t>经计算，依靠南大水库下游约</w:t>
      </w:r>
      <w:r>
        <w:rPr>
          <w:rFonts w:hint="eastAsia"/>
          <w:color w:val="auto"/>
          <w:highlight w:val="none"/>
          <w:lang w:val="en-US" w:eastAsia="zh-CN"/>
        </w:rPr>
        <w:t>2km处</w:t>
      </w:r>
      <w:r>
        <w:rPr>
          <w:rFonts w:hint="eastAsia"/>
          <w:color w:val="auto"/>
          <w:highlight w:val="none"/>
          <w:lang w:eastAsia="zh-CN"/>
        </w:rPr>
        <w:t>小海河断面天然径流，南大水库灌区供水量可满足需水量的要求。</w:t>
      </w:r>
    </w:p>
    <w:p>
      <w:pPr>
        <w:pStyle w:val="335"/>
        <w:spacing w:before="120" w:after="120"/>
        <w:rPr>
          <w:color w:val="auto"/>
          <w:highlight w:val="none"/>
        </w:rPr>
      </w:pPr>
      <w:bookmarkStart w:id="53" w:name="_Toc536295023"/>
      <w:r>
        <w:rPr>
          <w:rFonts w:hint="eastAsia"/>
          <w:color w:val="auto"/>
          <w:highlight w:val="none"/>
        </w:rPr>
        <w:t>1.4.6 工程规模</w:t>
      </w:r>
      <w:bookmarkEnd w:id="53"/>
    </w:p>
    <w:p>
      <w:pPr>
        <w:ind w:firstLine="480"/>
        <w:rPr>
          <w:rFonts w:hint="eastAsia"/>
          <w:color w:val="auto"/>
          <w:kern w:val="0"/>
          <w:highlight w:val="none"/>
          <w:lang w:val="en-US" w:eastAsia="zh-CN" w:bidi="en-US"/>
        </w:rPr>
      </w:pPr>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渠道进行三面光改造，改造起点位于温泉镇桃莲村委后（桩号0+000），距离干渠渠首约5.5km，终点位于从莞深高速公路穿路箱涵进水口（桩号1+207），改造总长1207m。主要建设内容是对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渠道进行三面光改造，改造总长为</w:t>
      </w:r>
      <w:r>
        <w:rPr>
          <w:rFonts w:hint="eastAsia"/>
          <w:b w:val="0"/>
          <w:bCs/>
          <w:color w:val="auto"/>
          <w:highlight w:val="none"/>
          <w:lang w:val="en-US" w:eastAsia="zh-CN"/>
        </w:rPr>
        <w:t>1207m，主要建筑物包括新建浆砌石渠道1207m，新建泄洪闸1座，拆除重建泄洪闸2座，拆除重建机耕桥2座，拆除重建人行桥5座，新建钢筋砼溢流面板1168m²等，详</w:t>
      </w:r>
      <w:r>
        <w:rPr>
          <w:rFonts w:hint="eastAsia"/>
          <w:color w:val="auto"/>
          <w:kern w:val="0"/>
          <w:highlight w:val="none"/>
          <w:lang w:bidi="en-US"/>
        </w:rPr>
        <w:t>见总体布置图。</w:t>
      </w:r>
    </w:p>
    <w:p>
      <w:pPr>
        <w:ind w:firstLine="480"/>
        <w:rPr>
          <w:color w:val="auto"/>
          <w:highlight w:val="none"/>
        </w:rPr>
      </w:pPr>
      <w:r>
        <w:rPr>
          <w:rFonts w:hint="eastAsia"/>
          <w:color w:val="auto"/>
          <w:highlight w:val="none"/>
          <w:lang w:eastAsia="zh-CN"/>
        </w:rPr>
        <w:t>经计算，渠道</w:t>
      </w:r>
      <w:r>
        <w:rPr>
          <w:rFonts w:hint="eastAsia"/>
          <w:color w:val="auto"/>
          <w:highlight w:val="none"/>
        </w:rPr>
        <w:t>设计</w:t>
      </w:r>
      <w:r>
        <w:rPr>
          <w:color w:val="auto"/>
          <w:highlight w:val="none"/>
        </w:rPr>
        <w:t>流量</w:t>
      </w:r>
      <w:r>
        <w:rPr>
          <w:rFonts w:hint="eastAsia"/>
          <w:color w:val="auto"/>
          <w:highlight w:val="none"/>
        </w:rPr>
        <w:t>为</w:t>
      </w:r>
      <w:r>
        <w:rPr>
          <w:rFonts w:hint="eastAsia"/>
          <w:color w:val="auto"/>
          <w:highlight w:val="none"/>
          <w:lang w:val="en-US" w:eastAsia="zh-CN"/>
        </w:rPr>
        <w:t>1.46</w:t>
      </w:r>
      <w:r>
        <w:rPr>
          <w:rFonts w:hint="eastAsia"/>
          <w:color w:val="auto"/>
          <w:highlight w:val="none"/>
          <w:lang w:eastAsia="zh-CN"/>
        </w:rPr>
        <w:t>m³</w:t>
      </w:r>
      <w:r>
        <w:rPr>
          <w:color w:val="auto"/>
          <w:highlight w:val="none"/>
        </w:rPr>
        <w:t>/s</w:t>
      </w:r>
      <w:r>
        <w:rPr>
          <w:rFonts w:hint="eastAsia"/>
          <w:color w:val="auto"/>
          <w:highlight w:val="none"/>
          <w:lang w:eastAsia="zh-CN"/>
        </w:rPr>
        <w:t>，</w:t>
      </w:r>
      <w:r>
        <w:rPr>
          <w:rFonts w:hint="eastAsia"/>
          <w:color w:val="auto"/>
          <w:highlight w:val="none"/>
        </w:rPr>
        <w:t>渠道</w:t>
      </w:r>
      <w:r>
        <w:rPr>
          <w:color w:val="auto"/>
          <w:highlight w:val="none"/>
        </w:rPr>
        <w:t>加大流量</w:t>
      </w:r>
      <w:r>
        <w:rPr>
          <w:rFonts w:hint="eastAsia"/>
          <w:color w:val="auto"/>
          <w:highlight w:val="none"/>
        </w:rPr>
        <w:t>为</w:t>
      </w:r>
      <w:r>
        <w:rPr>
          <w:rFonts w:hint="eastAsia"/>
          <w:color w:val="auto"/>
          <w:highlight w:val="none"/>
          <w:lang w:val="en-US" w:eastAsia="zh-CN"/>
        </w:rPr>
        <w:t>1.90</w:t>
      </w:r>
      <w:r>
        <w:rPr>
          <w:rFonts w:hint="eastAsia"/>
          <w:color w:val="auto"/>
          <w:highlight w:val="none"/>
          <w:lang w:eastAsia="zh-CN"/>
        </w:rPr>
        <w:t>m³</w:t>
      </w:r>
      <w:r>
        <w:rPr>
          <w:color w:val="auto"/>
          <w:highlight w:val="none"/>
        </w:rPr>
        <w:t>/s</w:t>
      </w:r>
      <w:r>
        <w:rPr>
          <w:rFonts w:hint="eastAsia"/>
          <w:color w:val="auto"/>
          <w:highlight w:val="none"/>
          <w:lang w:eastAsia="zh-CN"/>
        </w:rPr>
        <w:t>，</w:t>
      </w:r>
      <w:r>
        <w:rPr>
          <w:rFonts w:hint="eastAsia"/>
          <w:color w:val="auto"/>
          <w:highlight w:val="none"/>
        </w:rPr>
        <w:t>渠道</w:t>
      </w:r>
      <w:r>
        <w:rPr>
          <w:color w:val="auto"/>
          <w:highlight w:val="none"/>
        </w:rPr>
        <w:t>最小流量</w:t>
      </w:r>
      <w:r>
        <w:rPr>
          <w:rFonts w:hint="eastAsia"/>
          <w:color w:val="auto"/>
          <w:highlight w:val="none"/>
        </w:rPr>
        <w:t>为</w:t>
      </w:r>
      <w:r>
        <w:rPr>
          <w:rFonts w:hint="eastAsia"/>
          <w:color w:val="auto"/>
          <w:highlight w:val="none"/>
          <w:lang w:val="en-US" w:eastAsia="zh-CN"/>
        </w:rPr>
        <w:t>0.58</w:t>
      </w:r>
      <w:r>
        <w:rPr>
          <w:rFonts w:hint="eastAsia"/>
          <w:color w:val="auto"/>
          <w:highlight w:val="none"/>
          <w:lang w:eastAsia="zh-CN"/>
        </w:rPr>
        <w:t>m³</w:t>
      </w:r>
      <w:r>
        <w:rPr>
          <w:color w:val="auto"/>
          <w:highlight w:val="none"/>
        </w:rPr>
        <w:t>/s。</w:t>
      </w:r>
    </w:p>
    <w:p>
      <w:pPr>
        <w:ind w:firstLine="480"/>
        <w:rPr>
          <w:color w:val="auto"/>
          <w:highlight w:val="none"/>
        </w:rPr>
      </w:pPr>
      <w:r>
        <w:rPr>
          <w:rFonts w:hint="eastAsia"/>
          <w:color w:val="auto"/>
          <w:highlight w:val="none"/>
        </w:rPr>
        <w:t>由于干渠渠道为</w:t>
      </w:r>
      <w:r>
        <w:rPr>
          <w:color w:val="auto"/>
          <w:highlight w:val="none"/>
        </w:rPr>
        <w:t>灌溉、排涝结合的渠道（</w:t>
      </w:r>
      <w:r>
        <w:rPr>
          <w:rFonts w:hint="eastAsia"/>
          <w:color w:val="auto"/>
          <w:highlight w:val="none"/>
        </w:rPr>
        <w:t>段</w:t>
      </w:r>
      <w:r>
        <w:rPr>
          <w:color w:val="auto"/>
          <w:highlight w:val="none"/>
        </w:rPr>
        <w:t>）</w:t>
      </w:r>
      <w:r>
        <w:rPr>
          <w:rFonts w:hint="eastAsia"/>
          <w:color w:val="auto"/>
          <w:highlight w:val="none"/>
        </w:rPr>
        <w:t>，其渠道规模</w:t>
      </w:r>
      <w:r>
        <w:rPr>
          <w:color w:val="auto"/>
          <w:highlight w:val="none"/>
        </w:rPr>
        <w:t>宜</w:t>
      </w:r>
      <w:r>
        <w:rPr>
          <w:rFonts w:hint="eastAsia"/>
          <w:color w:val="auto"/>
          <w:highlight w:val="none"/>
        </w:rPr>
        <w:t>综合</w:t>
      </w:r>
      <w:r>
        <w:rPr>
          <w:color w:val="auto"/>
          <w:highlight w:val="none"/>
        </w:rPr>
        <w:t>考虑</w:t>
      </w:r>
      <w:r>
        <w:rPr>
          <w:rFonts w:hint="eastAsia"/>
          <w:color w:val="auto"/>
          <w:highlight w:val="none"/>
        </w:rPr>
        <w:t>灌溉</w:t>
      </w:r>
      <w:r>
        <w:rPr>
          <w:color w:val="auto"/>
          <w:highlight w:val="none"/>
        </w:rPr>
        <w:t>及排涝要求，</w:t>
      </w:r>
      <w:r>
        <w:rPr>
          <w:rFonts w:hint="eastAsia"/>
          <w:color w:val="auto"/>
          <w:highlight w:val="none"/>
        </w:rPr>
        <w:t>设计流量</w:t>
      </w:r>
      <w:r>
        <w:rPr>
          <w:color w:val="auto"/>
          <w:highlight w:val="none"/>
        </w:rPr>
        <w:t>按照灌溉加大流量</w:t>
      </w:r>
      <w:r>
        <w:rPr>
          <w:rFonts w:hint="eastAsia"/>
          <w:color w:val="auto"/>
          <w:highlight w:val="none"/>
        </w:rPr>
        <w:t>、排涝流量的较大值进行</w:t>
      </w:r>
      <w:r>
        <w:rPr>
          <w:color w:val="auto"/>
          <w:highlight w:val="none"/>
        </w:rPr>
        <w:t>确定</w:t>
      </w:r>
      <w:r>
        <w:rPr>
          <w:rFonts w:hint="eastAsia"/>
          <w:color w:val="auto"/>
          <w:highlight w:val="none"/>
        </w:rPr>
        <w:t>，</w:t>
      </w:r>
      <w:r>
        <w:rPr>
          <w:color w:val="auto"/>
          <w:highlight w:val="none"/>
        </w:rPr>
        <w:t>具体如下：</w:t>
      </w:r>
    </w:p>
    <w:p>
      <w:pPr>
        <w:pStyle w:val="333"/>
        <w:numPr>
          <w:ilvl w:val="0"/>
          <w:numId w:val="0"/>
        </w:numPr>
        <w:ind w:leftChars="0"/>
        <w:jc w:val="center"/>
        <w:rPr>
          <w:rFonts w:hint="eastAsia"/>
          <w:color w:val="auto"/>
          <w:highlight w:val="none"/>
          <w:lang w:eastAsia="zh-CN"/>
        </w:rPr>
      </w:pPr>
    </w:p>
    <w:p>
      <w:pPr>
        <w:pStyle w:val="333"/>
        <w:numPr>
          <w:ilvl w:val="0"/>
          <w:numId w:val="0"/>
        </w:numPr>
        <w:ind w:leftChars="0"/>
        <w:jc w:val="center"/>
        <w:rPr>
          <w:rFonts w:hint="eastAsia"/>
          <w:color w:val="auto"/>
          <w:highlight w:val="none"/>
          <w:lang w:eastAsia="zh-CN"/>
        </w:rPr>
      </w:pPr>
    </w:p>
    <w:p>
      <w:pPr>
        <w:pStyle w:val="333"/>
        <w:numPr>
          <w:ilvl w:val="0"/>
          <w:numId w:val="0"/>
        </w:numPr>
        <w:ind w:leftChars="0"/>
        <w:jc w:val="center"/>
        <w:rPr>
          <w:rFonts w:hint="eastAsia"/>
          <w:color w:val="auto"/>
          <w:highlight w:val="none"/>
          <w:lang w:eastAsia="zh-CN"/>
        </w:rPr>
      </w:pPr>
    </w:p>
    <w:p>
      <w:pPr>
        <w:pStyle w:val="333"/>
        <w:numPr>
          <w:ilvl w:val="0"/>
          <w:numId w:val="0"/>
        </w:numPr>
        <w:ind w:leftChars="0"/>
        <w:jc w:val="center"/>
        <w:rPr>
          <w:rFonts w:hint="eastAsia"/>
          <w:color w:val="auto"/>
          <w:highlight w:val="none"/>
          <w:lang w:eastAsia="zh-CN"/>
        </w:rPr>
      </w:pPr>
    </w:p>
    <w:p>
      <w:pPr>
        <w:pStyle w:val="333"/>
        <w:numPr>
          <w:ilvl w:val="0"/>
          <w:numId w:val="0"/>
        </w:numPr>
        <w:ind w:leftChars="0"/>
        <w:jc w:val="center"/>
        <w:rPr>
          <w:rFonts w:hint="eastAsia"/>
          <w:color w:val="auto"/>
          <w:highlight w:val="none"/>
          <w:lang w:eastAsia="zh-CN"/>
        </w:rPr>
      </w:pPr>
    </w:p>
    <w:p>
      <w:pPr>
        <w:pStyle w:val="333"/>
        <w:numPr>
          <w:ilvl w:val="0"/>
          <w:numId w:val="0"/>
        </w:numPr>
        <w:ind w:leftChars="0"/>
        <w:jc w:val="center"/>
        <w:rPr>
          <w:rFonts w:hint="eastAsia"/>
          <w:color w:val="auto"/>
          <w:highlight w:val="none"/>
          <w:lang w:eastAsia="zh-CN"/>
        </w:rPr>
      </w:pPr>
    </w:p>
    <w:p>
      <w:pPr>
        <w:pStyle w:val="333"/>
        <w:numPr>
          <w:ilvl w:val="0"/>
          <w:numId w:val="0"/>
        </w:numPr>
        <w:ind w:leftChars="0"/>
        <w:jc w:val="center"/>
        <w:rPr>
          <w:color w:val="auto"/>
          <w:highlight w:val="none"/>
        </w:rPr>
      </w:pPr>
      <w:r>
        <w:rPr>
          <w:rFonts w:hint="eastAsia"/>
          <w:color w:val="auto"/>
          <w:highlight w:val="none"/>
          <w:lang w:eastAsia="zh-CN"/>
        </w:rPr>
        <w:t>表</w:t>
      </w:r>
      <w:r>
        <w:rPr>
          <w:rFonts w:hint="eastAsia"/>
          <w:color w:val="auto"/>
          <w:highlight w:val="none"/>
          <w:lang w:val="en-US" w:eastAsia="zh-CN"/>
        </w:rPr>
        <w:t xml:space="preserve">1-5 </w:t>
      </w:r>
      <w:r>
        <w:rPr>
          <w:rFonts w:hint="eastAsia"/>
          <w:color w:val="auto"/>
          <w:highlight w:val="none"/>
          <w:lang w:eastAsia="zh-CN"/>
        </w:rPr>
        <w:t>南大水库灌区</w:t>
      </w:r>
      <w:r>
        <w:rPr>
          <w:rFonts w:hint="eastAsia"/>
          <w:color w:val="auto"/>
          <w:highlight w:val="none"/>
        </w:rPr>
        <w:t>干渠设计流量复核</w:t>
      </w:r>
    </w:p>
    <w:tbl>
      <w:tblPr>
        <w:tblStyle w:val="47"/>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0"/>
        <w:gridCol w:w="1345"/>
        <w:gridCol w:w="1531"/>
        <w:gridCol w:w="1531"/>
        <w:gridCol w:w="26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jc w:val="center"/>
        </w:trPr>
        <w:tc>
          <w:tcPr>
            <w:tcW w:w="1490"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textAlignment w:val="auto"/>
              <w:rPr>
                <w:color w:val="auto"/>
                <w:highlight w:val="none"/>
              </w:rPr>
            </w:pPr>
            <w:r>
              <w:rPr>
                <w:rFonts w:hint="eastAsia"/>
                <w:color w:val="auto"/>
                <w:highlight w:val="none"/>
              </w:rPr>
              <w:t>渠道</w:t>
            </w:r>
          </w:p>
          <w:p>
            <w:pPr>
              <w:pStyle w:val="272"/>
              <w:keepNext w:val="0"/>
              <w:keepLines w:val="0"/>
              <w:pageBreakBefore w:val="0"/>
              <w:widowControl/>
              <w:kinsoku/>
              <w:wordWrap/>
              <w:overflowPunct/>
              <w:topLinePunct w:val="0"/>
              <w:autoSpaceDE/>
              <w:autoSpaceDN/>
              <w:bidi w:val="0"/>
              <w:adjustRightInd/>
              <w:snapToGrid/>
              <w:spacing w:line="240" w:lineRule="auto"/>
              <w:textAlignment w:val="auto"/>
              <w:rPr>
                <w:color w:val="auto"/>
                <w:highlight w:val="none"/>
              </w:rPr>
            </w:pPr>
            <w:r>
              <w:rPr>
                <w:rFonts w:hint="eastAsia"/>
                <w:color w:val="auto"/>
                <w:highlight w:val="none"/>
              </w:rPr>
              <w:t>桩号</w:t>
            </w:r>
          </w:p>
        </w:tc>
        <w:tc>
          <w:tcPr>
            <w:tcW w:w="1345" w:type="dxa"/>
            <w:vAlign w:val="center"/>
          </w:tcPr>
          <w:p>
            <w:pPr>
              <w:pStyle w:val="272"/>
              <w:keepNext w:val="0"/>
              <w:keepLines w:val="0"/>
              <w:pageBreakBefore w:val="0"/>
              <w:widowControl/>
              <w:kinsoku/>
              <w:wordWrap/>
              <w:overflowPunct/>
              <w:topLinePunct w:val="0"/>
              <w:autoSpaceDE/>
              <w:autoSpaceDN/>
              <w:bidi w:val="0"/>
              <w:adjustRightInd/>
              <w:snapToGrid/>
              <w:spacing w:line="240" w:lineRule="auto"/>
              <w:textAlignment w:val="auto"/>
              <w:rPr>
                <w:color w:val="auto"/>
                <w:highlight w:val="none"/>
              </w:rPr>
            </w:pPr>
            <w:r>
              <w:rPr>
                <w:rFonts w:hint="eastAsia"/>
                <w:color w:val="auto"/>
                <w:highlight w:val="none"/>
              </w:rPr>
              <w:t>控制</w:t>
            </w:r>
            <w:r>
              <w:rPr>
                <w:color w:val="auto"/>
                <w:highlight w:val="none"/>
              </w:rPr>
              <w:t>灌溉面积</w:t>
            </w:r>
            <w:r>
              <w:rPr>
                <w:rFonts w:hint="eastAsia"/>
                <w:color w:val="auto"/>
                <w:highlight w:val="none"/>
              </w:rPr>
              <w:t>(亩</w:t>
            </w:r>
            <w:r>
              <w:rPr>
                <w:color w:val="auto"/>
                <w:highlight w:val="none"/>
              </w:rPr>
              <w:t>)</w:t>
            </w:r>
          </w:p>
        </w:tc>
        <w:tc>
          <w:tcPr>
            <w:tcW w:w="1531" w:type="dxa"/>
            <w:vAlign w:val="center"/>
          </w:tcPr>
          <w:p>
            <w:pPr>
              <w:pStyle w:val="272"/>
              <w:keepNext w:val="0"/>
              <w:keepLines w:val="0"/>
              <w:pageBreakBefore w:val="0"/>
              <w:widowControl/>
              <w:kinsoku/>
              <w:wordWrap/>
              <w:overflowPunct/>
              <w:topLinePunct w:val="0"/>
              <w:autoSpaceDE/>
              <w:autoSpaceDN/>
              <w:bidi w:val="0"/>
              <w:adjustRightInd/>
              <w:snapToGrid/>
              <w:spacing w:line="240" w:lineRule="auto"/>
              <w:textAlignment w:val="auto"/>
              <w:rPr>
                <w:color w:val="auto"/>
                <w:highlight w:val="none"/>
              </w:rPr>
            </w:pPr>
            <w:r>
              <w:rPr>
                <w:rFonts w:hint="eastAsia"/>
                <w:color w:val="auto"/>
                <w:highlight w:val="none"/>
              </w:rPr>
              <w:t>加大灌溉流量(</w:t>
            </w:r>
            <w:r>
              <w:rPr>
                <w:rFonts w:hint="eastAsia"/>
                <w:color w:val="auto"/>
                <w:highlight w:val="none"/>
                <w:lang w:eastAsia="zh-CN"/>
              </w:rPr>
              <w:t>m³</w:t>
            </w:r>
            <w:r>
              <w:rPr>
                <w:color w:val="auto"/>
                <w:highlight w:val="none"/>
              </w:rPr>
              <w:t>/s)</w:t>
            </w:r>
          </w:p>
        </w:tc>
        <w:tc>
          <w:tcPr>
            <w:tcW w:w="1531"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textAlignment w:val="auto"/>
              <w:rPr>
                <w:color w:val="auto"/>
                <w:highlight w:val="none"/>
              </w:rPr>
            </w:pPr>
            <w:r>
              <w:rPr>
                <w:rFonts w:hint="eastAsia"/>
                <w:color w:val="auto"/>
                <w:highlight w:val="none"/>
              </w:rPr>
              <w:t>部分渠段排水流量(</w:t>
            </w:r>
            <w:r>
              <w:rPr>
                <w:rFonts w:hint="eastAsia"/>
                <w:color w:val="auto"/>
                <w:highlight w:val="none"/>
                <w:lang w:eastAsia="zh-CN"/>
              </w:rPr>
              <w:t>m³</w:t>
            </w:r>
            <w:r>
              <w:rPr>
                <w:color w:val="auto"/>
                <w:highlight w:val="none"/>
              </w:rPr>
              <w:t>/s)</w:t>
            </w:r>
          </w:p>
        </w:tc>
        <w:tc>
          <w:tcPr>
            <w:tcW w:w="2608"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textAlignment w:val="auto"/>
              <w:rPr>
                <w:color w:val="auto"/>
                <w:highlight w:val="none"/>
              </w:rPr>
            </w:pPr>
            <w:r>
              <w:rPr>
                <w:rFonts w:hint="eastAsia"/>
                <w:color w:val="auto"/>
                <w:highlight w:val="none"/>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490"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hint="default" w:eastAsia="等线"/>
                <w:color w:val="auto"/>
                <w:highlight w:val="none"/>
                <w:lang w:val="en-US" w:eastAsia="zh-CN"/>
              </w:rPr>
            </w:pPr>
            <w:r>
              <w:rPr>
                <w:rFonts w:eastAsia="等线"/>
                <w:color w:val="auto"/>
                <w:highlight w:val="none"/>
              </w:rPr>
              <w:t>0+000</w:t>
            </w:r>
            <w:r>
              <w:rPr>
                <w:rFonts w:hint="eastAsia" w:eastAsia="等线"/>
                <w:color w:val="auto"/>
                <w:highlight w:val="none"/>
                <w:lang w:val="en-US" w:eastAsia="zh-CN"/>
              </w:rPr>
              <w:t>~0+100</w:t>
            </w:r>
          </w:p>
        </w:tc>
        <w:tc>
          <w:tcPr>
            <w:tcW w:w="1345"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eastAsia="等线"/>
                <w:color w:val="auto"/>
                <w:highlight w:val="none"/>
              </w:rPr>
            </w:pPr>
            <w:r>
              <w:rPr>
                <w:rFonts w:hint="eastAsia" w:eastAsia="等线"/>
                <w:color w:val="auto"/>
                <w:highlight w:val="none"/>
                <w:lang w:val="en-US" w:eastAsia="zh-CN"/>
              </w:rPr>
              <w:t>8300</w:t>
            </w:r>
          </w:p>
        </w:tc>
        <w:tc>
          <w:tcPr>
            <w:tcW w:w="1531" w:type="dxa"/>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eastAsia="等线"/>
                <w:color w:val="auto"/>
                <w:sz w:val="21"/>
                <w:szCs w:val="21"/>
                <w:highlight w:val="none"/>
                <w:lang w:eastAsia="zh-CN"/>
              </w:rPr>
            </w:pPr>
            <w:r>
              <w:rPr>
                <w:rFonts w:hint="eastAsia" w:eastAsia="等线"/>
                <w:color w:val="auto"/>
                <w:sz w:val="21"/>
                <w:szCs w:val="21"/>
                <w:highlight w:val="none"/>
                <w:lang w:val="en-US" w:eastAsia="zh-CN"/>
              </w:rPr>
              <w:t>1.90</w:t>
            </w:r>
          </w:p>
        </w:tc>
        <w:tc>
          <w:tcPr>
            <w:tcW w:w="153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eastAsia="等线"/>
                <w:color w:val="auto"/>
                <w:highlight w:val="none"/>
                <w:lang w:eastAsia="zh-CN"/>
              </w:rPr>
            </w:pPr>
            <w:r>
              <w:rPr>
                <w:rFonts w:hint="eastAsia"/>
                <w:color w:val="auto"/>
                <w:sz w:val="21"/>
                <w:szCs w:val="22"/>
                <w:highlight w:val="none"/>
                <w:lang w:val="en-US" w:eastAsia="zh-CN"/>
              </w:rPr>
              <w:t>2.21</w:t>
            </w:r>
          </w:p>
        </w:tc>
        <w:tc>
          <w:tcPr>
            <w:tcW w:w="2608"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hint="default" w:eastAsia="宋体"/>
                <w:color w:val="auto"/>
                <w:highlight w:val="none"/>
                <w:lang w:val="en-US" w:eastAsia="zh-CN"/>
              </w:rPr>
            </w:pPr>
            <w:r>
              <w:rPr>
                <w:rFonts w:hint="eastAsia"/>
                <w:color w:val="auto"/>
                <w:highlight w:val="none"/>
                <w:lang w:val="en-US" w:eastAsia="zh-CN"/>
              </w:rPr>
              <w:t>本工程渠道起点接上游已改造的三面光渠道。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490"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hint="default" w:eastAsia="等线"/>
                <w:color w:val="auto"/>
                <w:highlight w:val="none"/>
                <w:lang w:val="en-US"/>
              </w:rPr>
            </w:pPr>
            <w:r>
              <w:rPr>
                <w:rFonts w:hint="eastAsia" w:eastAsia="等线"/>
                <w:color w:val="auto"/>
                <w:highlight w:val="none"/>
                <w:lang w:val="en-US" w:eastAsia="zh-CN"/>
              </w:rPr>
              <w:t>0+100~1+000</w:t>
            </w:r>
          </w:p>
        </w:tc>
        <w:tc>
          <w:tcPr>
            <w:tcW w:w="1345"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hint="default" w:eastAsia="等线"/>
                <w:color w:val="auto"/>
                <w:highlight w:val="none"/>
                <w:lang w:val="en-US"/>
              </w:rPr>
            </w:pPr>
            <w:r>
              <w:rPr>
                <w:rFonts w:hint="eastAsia" w:eastAsia="等线"/>
                <w:color w:val="auto"/>
                <w:highlight w:val="none"/>
                <w:lang w:val="en-US" w:eastAsia="zh-CN"/>
              </w:rPr>
              <w:t>8300</w:t>
            </w:r>
          </w:p>
        </w:tc>
        <w:tc>
          <w:tcPr>
            <w:tcW w:w="1531" w:type="dxa"/>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eastAsia="等线"/>
                <w:color w:val="auto"/>
                <w:sz w:val="21"/>
                <w:szCs w:val="21"/>
                <w:highlight w:val="none"/>
                <w:lang w:val="en-US" w:eastAsia="zh-CN"/>
              </w:rPr>
            </w:pPr>
            <w:r>
              <w:rPr>
                <w:rFonts w:hint="eastAsia" w:eastAsia="等线"/>
                <w:color w:val="auto"/>
                <w:sz w:val="21"/>
                <w:szCs w:val="21"/>
                <w:highlight w:val="none"/>
                <w:lang w:val="en-US" w:eastAsia="zh-CN"/>
              </w:rPr>
              <w:t>1.90</w:t>
            </w:r>
          </w:p>
        </w:tc>
        <w:tc>
          <w:tcPr>
            <w:tcW w:w="153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eastAsia="等线"/>
                <w:color w:val="auto"/>
                <w:highlight w:val="none"/>
                <w:lang w:eastAsia="zh-CN"/>
              </w:rPr>
            </w:pPr>
            <w:r>
              <w:rPr>
                <w:rFonts w:hint="eastAsia"/>
                <w:color w:val="auto"/>
                <w:sz w:val="22"/>
                <w:szCs w:val="22"/>
                <w:highlight w:val="none"/>
                <w:lang w:val="en-US" w:eastAsia="zh-CN"/>
              </w:rPr>
              <w:t>3.12</w:t>
            </w:r>
          </w:p>
        </w:tc>
        <w:tc>
          <w:tcPr>
            <w:tcW w:w="2608"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490"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hint="default" w:eastAsia="等线"/>
                <w:color w:val="auto"/>
                <w:highlight w:val="none"/>
                <w:lang w:val="en-US" w:eastAsia="zh-CN"/>
              </w:rPr>
            </w:pPr>
            <w:r>
              <w:rPr>
                <w:rFonts w:hint="eastAsia" w:eastAsia="等线"/>
                <w:color w:val="auto"/>
                <w:highlight w:val="none"/>
                <w:lang w:val="en-US" w:eastAsia="zh-CN"/>
              </w:rPr>
              <w:t>1+000~1+207</w:t>
            </w:r>
          </w:p>
        </w:tc>
        <w:tc>
          <w:tcPr>
            <w:tcW w:w="1345"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hint="eastAsia" w:eastAsia="等线"/>
                <w:color w:val="auto"/>
                <w:highlight w:val="none"/>
                <w:lang w:val="en-US" w:eastAsia="zh-CN"/>
              </w:rPr>
            </w:pPr>
            <w:r>
              <w:rPr>
                <w:rFonts w:hint="eastAsia" w:eastAsia="等线"/>
                <w:color w:val="auto"/>
                <w:highlight w:val="none"/>
                <w:lang w:val="en-US" w:eastAsia="zh-CN"/>
              </w:rPr>
              <w:t>8300</w:t>
            </w:r>
          </w:p>
        </w:tc>
        <w:tc>
          <w:tcPr>
            <w:tcW w:w="1531" w:type="dxa"/>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eastAsia="等线"/>
                <w:color w:val="auto"/>
                <w:sz w:val="21"/>
                <w:szCs w:val="21"/>
                <w:highlight w:val="none"/>
                <w:lang w:val="en-US" w:eastAsia="zh-CN"/>
              </w:rPr>
            </w:pPr>
            <w:r>
              <w:rPr>
                <w:rFonts w:hint="eastAsia" w:eastAsia="等线"/>
                <w:color w:val="auto"/>
                <w:sz w:val="21"/>
                <w:szCs w:val="21"/>
                <w:highlight w:val="none"/>
                <w:lang w:val="en-US" w:eastAsia="zh-CN"/>
              </w:rPr>
              <w:t>1.90</w:t>
            </w:r>
          </w:p>
        </w:tc>
        <w:tc>
          <w:tcPr>
            <w:tcW w:w="153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eastAsia="等线"/>
                <w:color w:val="auto"/>
                <w:highlight w:val="none"/>
                <w:lang w:val="en-US" w:eastAsia="zh-CN"/>
              </w:rPr>
            </w:pPr>
            <w:r>
              <w:rPr>
                <w:rFonts w:hint="eastAsia"/>
                <w:color w:val="auto"/>
                <w:sz w:val="22"/>
                <w:szCs w:val="22"/>
                <w:highlight w:val="none"/>
                <w:lang w:val="en-US" w:eastAsia="zh-CN"/>
              </w:rPr>
              <w:t>1.52</w:t>
            </w:r>
          </w:p>
        </w:tc>
        <w:tc>
          <w:tcPr>
            <w:tcW w:w="2608"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color w:val="auto"/>
                <w:highlight w:val="none"/>
              </w:rPr>
            </w:pPr>
          </w:p>
        </w:tc>
      </w:tr>
    </w:tbl>
    <w:p>
      <w:pPr>
        <w:ind w:firstLine="480"/>
        <w:rPr>
          <w:color w:val="auto"/>
          <w:highlight w:val="none"/>
        </w:rPr>
      </w:pPr>
      <w:r>
        <w:rPr>
          <w:color w:val="auto"/>
          <w:highlight w:val="none"/>
        </w:rPr>
        <w:t>根据已知下断面水位、流速、断面间距离、流量、桩号与断面形状有关的局部阻力系数、流速系数、流量模数，以及上断面水位与流速的关系，利用试算法逐步寻优求解。</w:t>
      </w:r>
      <w:r>
        <w:rPr>
          <w:rFonts w:hint="eastAsia"/>
          <w:color w:val="auto"/>
          <w:highlight w:val="none"/>
        </w:rPr>
        <w:t>成果如下</w:t>
      </w:r>
      <w:r>
        <w:rPr>
          <w:color w:val="auto"/>
          <w:highlight w:val="none"/>
        </w:rPr>
        <w:t>：</w:t>
      </w:r>
    </w:p>
    <w:p>
      <w:pPr>
        <w:ind w:left="0" w:leftChars="0" w:firstLine="0" w:firstLineChars="0"/>
        <w:jc w:val="center"/>
        <w:rPr>
          <w:color w:val="auto"/>
          <w:highlight w:val="none"/>
        </w:rPr>
      </w:pPr>
      <w:r>
        <w:rPr>
          <w:rFonts w:hint="eastAsia"/>
          <w:color w:val="auto"/>
          <w:highlight w:val="none"/>
          <w:lang w:eastAsia="zh-CN"/>
        </w:rPr>
        <w:t>表</w:t>
      </w:r>
      <w:r>
        <w:rPr>
          <w:rFonts w:hint="eastAsia"/>
          <w:color w:val="auto"/>
          <w:highlight w:val="none"/>
          <w:lang w:val="en-US" w:eastAsia="zh-CN"/>
        </w:rPr>
        <w:t xml:space="preserve">1-6 </w:t>
      </w:r>
      <w:r>
        <w:rPr>
          <w:rFonts w:hint="eastAsia"/>
          <w:color w:val="auto"/>
          <w:highlight w:val="none"/>
          <w:lang w:eastAsia="zh-CN"/>
        </w:rPr>
        <w:t>南大水库灌区</w:t>
      </w:r>
      <w:r>
        <w:rPr>
          <w:color w:val="auto"/>
          <w:highlight w:val="none"/>
        </w:rPr>
        <w:t>干渠水面线计算成果</w:t>
      </w:r>
    </w:p>
    <w:tbl>
      <w:tblPr>
        <w:tblStyle w:val="47"/>
        <w:tblW w:w="877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8"/>
        <w:gridCol w:w="2011"/>
        <w:gridCol w:w="1829"/>
        <w:gridCol w:w="1820"/>
        <w:gridCol w:w="18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8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color w:val="auto"/>
                <w:kern w:val="0"/>
                <w:sz w:val="22"/>
                <w:szCs w:val="22"/>
                <w:highlight w:val="none"/>
              </w:rPr>
            </w:pPr>
            <w:r>
              <w:rPr>
                <w:color w:val="auto"/>
                <w:kern w:val="0"/>
                <w:sz w:val="22"/>
                <w:szCs w:val="22"/>
                <w:highlight w:val="none"/>
              </w:rPr>
              <w:t>桩号</w:t>
            </w:r>
          </w:p>
        </w:tc>
        <w:tc>
          <w:tcPr>
            <w:tcW w:w="201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color w:val="auto"/>
                <w:kern w:val="0"/>
                <w:sz w:val="22"/>
                <w:szCs w:val="22"/>
                <w:highlight w:val="none"/>
              </w:rPr>
            </w:pPr>
            <w:r>
              <w:rPr>
                <w:color w:val="auto"/>
                <w:kern w:val="0"/>
                <w:sz w:val="22"/>
                <w:szCs w:val="22"/>
                <w:highlight w:val="none"/>
              </w:rPr>
              <w:t>设计</w:t>
            </w:r>
            <w:r>
              <w:rPr>
                <w:rFonts w:hint="eastAsia"/>
                <w:color w:val="auto"/>
                <w:kern w:val="0"/>
                <w:sz w:val="22"/>
                <w:szCs w:val="22"/>
                <w:highlight w:val="none"/>
                <w:lang w:eastAsia="zh-CN"/>
              </w:rPr>
              <w:t>渠</w:t>
            </w:r>
            <w:r>
              <w:rPr>
                <w:color w:val="auto"/>
                <w:kern w:val="0"/>
                <w:sz w:val="22"/>
                <w:szCs w:val="22"/>
                <w:highlight w:val="none"/>
              </w:rPr>
              <w:t>底高程(m)</w:t>
            </w:r>
          </w:p>
        </w:tc>
        <w:tc>
          <w:tcPr>
            <w:tcW w:w="182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color w:val="auto"/>
                <w:kern w:val="0"/>
                <w:sz w:val="22"/>
                <w:szCs w:val="22"/>
                <w:highlight w:val="none"/>
              </w:rPr>
            </w:pPr>
            <w:r>
              <w:rPr>
                <w:rFonts w:hint="eastAsia"/>
                <w:color w:val="auto"/>
                <w:kern w:val="0"/>
                <w:sz w:val="22"/>
                <w:szCs w:val="22"/>
                <w:highlight w:val="none"/>
              </w:rPr>
              <w:t>灌溉水面线</w:t>
            </w:r>
          </w:p>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color w:val="auto"/>
                <w:kern w:val="0"/>
                <w:sz w:val="22"/>
                <w:szCs w:val="22"/>
                <w:highlight w:val="none"/>
              </w:rPr>
            </w:pPr>
            <w:r>
              <w:rPr>
                <w:color w:val="auto"/>
                <w:kern w:val="0"/>
                <w:sz w:val="22"/>
                <w:szCs w:val="22"/>
                <w:highlight w:val="none"/>
              </w:rPr>
              <w:t>(m)</w:t>
            </w:r>
          </w:p>
        </w:tc>
        <w:tc>
          <w:tcPr>
            <w:tcW w:w="182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color w:val="auto"/>
                <w:kern w:val="0"/>
                <w:sz w:val="22"/>
                <w:szCs w:val="22"/>
                <w:highlight w:val="none"/>
              </w:rPr>
            </w:pPr>
            <w:r>
              <w:rPr>
                <w:rFonts w:hint="eastAsia"/>
                <w:color w:val="auto"/>
                <w:kern w:val="0"/>
                <w:sz w:val="22"/>
                <w:szCs w:val="22"/>
                <w:highlight w:val="none"/>
              </w:rPr>
              <w:t>排水水面线</w:t>
            </w:r>
          </w:p>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color w:val="auto"/>
                <w:kern w:val="0"/>
                <w:sz w:val="22"/>
                <w:szCs w:val="22"/>
                <w:highlight w:val="none"/>
              </w:rPr>
            </w:pPr>
            <w:r>
              <w:rPr>
                <w:color w:val="auto"/>
                <w:kern w:val="0"/>
                <w:sz w:val="22"/>
                <w:szCs w:val="22"/>
                <w:highlight w:val="none"/>
              </w:rPr>
              <w:t>(m)</w:t>
            </w:r>
          </w:p>
        </w:tc>
        <w:tc>
          <w:tcPr>
            <w:tcW w:w="1829" w:type="dxa"/>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color w:val="auto"/>
                <w:kern w:val="0"/>
                <w:sz w:val="22"/>
                <w:szCs w:val="22"/>
                <w:highlight w:val="none"/>
              </w:rPr>
            </w:pPr>
            <w:r>
              <w:rPr>
                <w:rFonts w:hint="eastAsia"/>
                <w:color w:val="auto"/>
                <w:kern w:val="0"/>
                <w:sz w:val="22"/>
                <w:szCs w:val="22"/>
                <w:highlight w:val="none"/>
              </w:rPr>
              <w:t>设计水面线</w:t>
            </w:r>
          </w:p>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color w:val="auto"/>
                <w:kern w:val="0"/>
                <w:sz w:val="22"/>
                <w:szCs w:val="22"/>
                <w:highlight w:val="none"/>
              </w:rPr>
            </w:pPr>
            <w:r>
              <w:rPr>
                <w:rFonts w:hint="eastAsia"/>
                <w:color w:val="auto"/>
                <w:kern w:val="0"/>
                <w:sz w:val="22"/>
                <w:szCs w:val="22"/>
                <w:highlight w:val="none"/>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8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default"/>
                <w:color w:val="auto"/>
                <w:kern w:val="0"/>
                <w:sz w:val="22"/>
                <w:szCs w:val="22"/>
                <w:highlight w:val="none"/>
                <w:lang w:val="en-US" w:eastAsia="zh-CN"/>
              </w:rPr>
            </w:pPr>
            <w:r>
              <w:rPr>
                <w:rFonts w:hint="default"/>
                <w:color w:val="auto"/>
                <w:kern w:val="0"/>
                <w:sz w:val="22"/>
                <w:szCs w:val="22"/>
                <w:highlight w:val="none"/>
                <w:lang w:val="en-US" w:eastAsia="zh-CN"/>
              </w:rPr>
              <w:t>1+</w:t>
            </w:r>
            <w:r>
              <w:rPr>
                <w:rFonts w:hint="eastAsia"/>
                <w:color w:val="auto"/>
                <w:kern w:val="0"/>
                <w:sz w:val="22"/>
                <w:szCs w:val="22"/>
                <w:highlight w:val="none"/>
                <w:lang w:val="en-US" w:eastAsia="zh-CN"/>
              </w:rPr>
              <w:t>207</w:t>
            </w:r>
          </w:p>
        </w:tc>
        <w:tc>
          <w:tcPr>
            <w:tcW w:w="201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92.77</w:t>
            </w:r>
          </w:p>
        </w:tc>
        <w:tc>
          <w:tcPr>
            <w:tcW w:w="182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93.97 </w:t>
            </w:r>
          </w:p>
        </w:tc>
        <w:tc>
          <w:tcPr>
            <w:tcW w:w="182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94.05 </w:t>
            </w:r>
          </w:p>
        </w:tc>
        <w:tc>
          <w:tcPr>
            <w:tcW w:w="1829"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94.05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8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default"/>
                <w:color w:val="auto"/>
                <w:kern w:val="0"/>
                <w:sz w:val="22"/>
                <w:szCs w:val="22"/>
                <w:highlight w:val="none"/>
                <w:lang w:val="en-US" w:eastAsia="zh-CN"/>
              </w:rPr>
            </w:pPr>
            <w:r>
              <w:rPr>
                <w:rFonts w:hint="eastAsia"/>
                <w:color w:val="auto"/>
                <w:kern w:val="0"/>
                <w:sz w:val="22"/>
                <w:szCs w:val="22"/>
                <w:highlight w:val="none"/>
                <w:lang w:val="en-US" w:eastAsia="zh-CN"/>
              </w:rPr>
              <w:t>1+000</w:t>
            </w:r>
          </w:p>
        </w:tc>
        <w:tc>
          <w:tcPr>
            <w:tcW w:w="201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92.89</w:t>
            </w:r>
          </w:p>
        </w:tc>
        <w:tc>
          <w:tcPr>
            <w:tcW w:w="182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94.09 </w:t>
            </w:r>
          </w:p>
        </w:tc>
        <w:tc>
          <w:tcPr>
            <w:tcW w:w="182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94.17 </w:t>
            </w:r>
          </w:p>
        </w:tc>
        <w:tc>
          <w:tcPr>
            <w:tcW w:w="1829"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94.17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8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default"/>
                <w:color w:val="auto"/>
                <w:kern w:val="0"/>
                <w:sz w:val="22"/>
                <w:szCs w:val="22"/>
                <w:highlight w:val="none"/>
                <w:lang w:val="en-US" w:eastAsia="zh-CN"/>
              </w:rPr>
            </w:pPr>
            <w:r>
              <w:rPr>
                <w:rFonts w:hint="default"/>
                <w:color w:val="auto"/>
                <w:kern w:val="0"/>
                <w:sz w:val="22"/>
                <w:szCs w:val="22"/>
                <w:highlight w:val="none"/>
                <w:lang w:val="en-US" w:eastAsia="zh-CN"/>
              </w:rPr>
              <w:t>0+</w:t>
            </w:r>
            <w:r>
              <w:rPr>
                <w:rFonts w:hint="eastAsia"/>
                <w:color w:val="auto"/>
                <w:kern w:val="0"/>
                <w:sz w:val="22"/>
                <w:szCs w:val="22"/>
                <w:highlight w:val="none"/>
                <w:lang w:val="en-US" w:eastAsia="zh-CN"/>
              </w:rPr>
              <w:t>800</w:t>
            </w:r>
          </w:p>
        </w:tc>
        <w:tc>
          <w:tcPr>
            <w:tcW w:w="201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93.01</w:t>
            </w:r>
          </w:p>
        </w:tc>
        <w:tc>
          <w:tcPr>
            <w:tcW w:w="182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94.21 </w:t>
            </w:r>
          </w:p>
        </w:tc>
        <w:tc>
          <w:tcPr>
            <w:tcW w:w="182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94.29 </w:t>
            </w:r>
          </w:p>
        </w:tc>
        <w:tc>
          <w:tcPr>
            <w:tcW w:w="1829"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94.29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8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default"/>
                <w:color w:val="auto"/>
                <w:kern w:val="0"/>
                <w:sz w:val="22"/>
                <w:szCs w:val="22"/>
                <w:highlight w:val="none"/>
                <w:lang w:val="en-US" w:eastAsia="zh-CN"/>
              </w:rPr>
            </w:pPr>
            <w:r>
              <w:rPr>
                <w:rFonts w:hint="default"/>
                <w:color w:val="auto"/>
                <w:kern w:val="0"/>
                <w:sz w:val="22"/>
                <w:szCs w:val="22"/>
                <w:highlight w:val="none"/>
                <w:lang w:val="en-US" w:eastAsia="zh-CN"/>
              </w:rPr>
              <w:t>0+</w:t>
            </w:r>
            <w:r>
              <w:rPr>
                <w:rFonts w:hint="eastAsia"/>
                <w:color w:val="auto"/>
                <w:kern w:val="0"/>
                <w:sz w:val="22"/>
                <w:szCs w:val="22"/>
                <w:highlight w:val="none"/>
                <w:lang w:val="en-US" w:eastAsia="zh-CN"/>
              </w:rPr>
              <w:t>600</w:t>
            </w:r>
          </w:p>
        </w:tc>
        <w:tc>
          <w:tcPr>
            <w:tcW w:w="201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93.13</w:t>
            </w:r>
          </w:p>
        </w:tc>
        <w:tc>
          <w:tcPr>
            <w:tcW w:w="182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94.33 </w:t>
            </w:r>
          </w:p>
        </w:tc>
        <w:tc>
          <w:tcPr>
            <w:tcW w:w="182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94.41 </w:t>
            </w:r>
          </w:p>
        </w:tc>
        <w:tc>
          <w:tcPr>
            <w:tcW w:w="1829"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94.41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8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default"/>
                <w:color w:val="auto"/>
                <w:kern w:val="0"/>
                <w:sz w:val="22"/>
                <w:szCs w:val="22"/>
                <w:highlight w:val="none"/>
                <w:lang w:val="en-US" w:eastAsia="zh-CN"/>
              </w:rPr>
            </w:pPr>
            <w:r>
              <w:rPr>
                <w:rFonts w:hint="default"/>
                <w:color w:val="auto"/>
                <w:kern w:val="0"/>
                <w:sz w:val="22"/>
                <w:szCs w:val="22"/>
                <w:highlight w:val="none"/>
                <w:lang w:val="en-US" w:eastAsia="zh-CN"/>
              </w:rPr>
              <w:t>0+</w:t>
            </w:r>
            <w:r>
              <w:rPr>
                <w:rFonts w:hint="eastAsia"/>
                <w:color w:val="auto"/>
                <w:kern w:val="0"/>
                <w:sz w:val="22"/>
                <w:szCs w:val="22"/>
                <w:highlight w:val="none"/>
                <w:lang w:val="en-US" w:eastAsia="zh-CN"/>
              </w:rPr>
              <w:t>400</w:t>
            </w:r>
          </w:p>
        </w:tc>
        <w:tc>
          <w:tcPr>
            <w:tcW w:w="201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93.25</w:t>
            </w:r>
          </w:p>
        </w:tc>
        <w:tc>
          <w:tcPr>
            <w:tcW w:w="182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94.45 </w:t>
            </w:r>
          </w:p>
        </w:tc>
        <w:tc>
          <w:tcPr>
            <w:tcW w:w="182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94.53 </w:t>
            </w:r>
          </w:p>
        </w:tc>
        <w:tc>
          <w:tcPr>
            <w:tcW w:w="1829"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94.53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8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default"/>
                <w:color w:val="auto"/>
                <w:kern w:val="0"/>
                <w:sz w:val="22"/>
                <w:szCs w:val="22"/>
                <w:highlight w:val="none"/>
                <w:lang w:val="en-US" w:eastAsia="zh-CN"/>
              </w:rPr>
            </w:pPr>
            <w:r>
              <w:rPr>
                <w:rFonts w:hint="default"/>
                <w:color w:val="auto"/>
                <w:kern w:val="0"/>
                <w:sz w:val="22"/>
                <w:szCs w:val="22"/>
                <w:highlight w:val="none"/>
                <w:lang w:val="en-US" w:eastAsia="zh-CN"/>
              </w:rPr>
              <w:t>0+</w:t>
            </w:r>
            <w:r>
              <w:rPr>
                <w:rFonts w:hint="eastAsia"/>
                <w:color w:val="auto"/>
                <w:kern w:val="0"/>
                <w:sz w:val="22"/>
                <w:szCs w:val="22"/>
                <w:highlight w:val="none"/>
                <w:lang w:val="en-US" w:eastAsia="zh-CN"/>
              </w:rPr>
              <w:t>200</w:t>
            </w:r>
          </w:p>
        </w:tc>
        <w:tc>
          <w:tcPr>
            <w:tcW w:w="201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93.37</w:t>
            </w:r>
          </w:p>
        </w:tc>
        <w:tc>
          <w:tcPr>
            <w:tcW w:w="182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94.57 </w:t>
            </w:r>
          </w:p>
        </w:tc>
        <w:tc>
          <w:tcPr>
            <w:tcW w:w="182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94.65 </w:t>
            </w:r>
          </w:p>
        </w:tc>
        <w:tc>
          <w:tcPr>
            <w:tcW w:w="1829"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94.65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8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0+000</w:t>
            </w:r>
          </w:p>
        </w:tc>
        <w:tc>
          <w:tcPr>
            <w:tcW w:w="201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93.49</w:t>
            </w:r>
          </w:p>
        </w:tc>
        <w:tc>
          <w:tcPr>
            <w:tcW w:w="182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94.69 </w:t>
            </w:r>
          </w:p>
        </w:tc>
        <w:tc>
          <w:tcPr>
            <w:tcW w:w="182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94.77 </w:t>
            </w:r>
          </w:p>
        </w:tc>
        <w:tc>
          <w:tcPr>
            <w:tcW w:w="1829"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94.77 </w:t>
            </w:r>
          </w:p>
        </w:tc>
      </w:tr>
    </w:tbl>
    <w:p>
      <w:pPr>
        <w:pStyle w:val="3"/>
        <w:rPr>
          <w:color w:val="auto"/>
          <w:highlight w:val="none"/>
        </w:rPr>
      </w:pPr>
      <w:bookmarkStart w:id="54" w:name="_Toc18040"/>
      <w:r>
        <w:rPr>
          <w:color w:val="auto"/>
          <w:highlight w:val="none"/>
        </w:rPr>
        <w:t>1.</w:t>
      </w:r>
      <w:r>
        <w:rPr>
          <w:rFonts w:hint="eastAsia"/>
          <w:color w:val="auto"/>
          <w:highlight w:val="none"/>
        </w:rPr>
        <w:t>5</w:t>
      </w:r>
      <w:r>
        <w:rPr>
          <w:color w:val="auto"/>
          <w:highlight w:val="none"/>
        </w:rPr>
        <w:t xml:space="preserve"> 工程布置及建筑物</w:t>
      </w:r>
      <w:bookmarkEnd w:id="48"/>
      <w:bookmarkEnd w:id="49"/>
      <w:bookmarkEnd w:id="54"/>
    </w:p>
    <w:p>
      <w:pPr>
        <w:pStyle w:val="335"/>
        <w:spacing w:before="120" w:after="120"/>
        <w:rPr>
          <w:color w:val="auto"/>
          <w:highlight w:val="none"/>
          <w:lang w:bidi="en-US"/>
        </w:rPr>
      </w:pPr>
      <w:bookmarkStart w:id="55" w:name="_Toc536295027"/>
      <w:r>
        <w:rPr>
          <w:rFonts w:hint="eastAsia"/>
          <w:color w:val="auto"/>
          <w:highlight w:val="none"/>
        </w:rPr>
        <w:t>1.5.1</w:t>
      </w:r>
      <w:r>
        <w:rPr>
          <w:color w:val="auto"/>
          <w:highlight w:val="none"/>
        </w:rPr>
        <w:t xml:space="preserve"> </w:t>
      </w:r>
      <w:r>
        <w:rPr>
          <w:rFonts w:hint="eastAsia"/>
          <w:color w:val="auto"/>
          <w:highlight w:val="none"/>
        </w:rPr>
        <w:t>工程等别及防洪标准</w:t>
      </w:r>
    </w:p>
    <w:p>
      <w:pPr>
        <w:ind w:firstLine="480"/>
        <w:rPr>
          <w:color w:val="auto"/>
          <w:highlight w:val="none"/>
        </w:rPr>
      </w:pPr>
      <w:r>
        <w:rPr>
          <w:rFonts w:hint="eastAsia"/>
          <w:color w:val="auto"/>
          <w:highlight w:val="none"/>
        </w:rPr>
        <w:t>（1）工程等别</w:t>
      </w:r>
    </w:p>
    <w:p>
      <w:pPr>
        <w:ind w:firstLine="480"/>
        <w:rPr>
          <w:color w:val="auto"/>
          <w:highlight w:val="none"/>
        </w:rPr>
      </w:pPr>
      <w:r>
        <w:rPr>
          <w:rFonts w:hint="eastAsia"/>
          <w:color w:val="auto"/>
          <w:highlight w:val="none"/>
          <w:lang w:eastAsia="zh-CN"/>
        </w:rPr>
        <w:t>南大水库</w:t>
      </w:r>
      <w:r>
        <w:rPr>
          <w:rFonts w:hint="eastAsia"/>
          <w:color w:val="auto"/>
          <w:highlight w:val="none"/>
        </w:rPr>
        <w:t>灌区涉及灌溉面积</w:t>
      </w:r>
      <w:r>
        <w:rPr>
          <w:rFonts w:hint="eastAsia"/>
          <w:color w:val="auto"/>
          <w:highlight w:val="none"/>
          <w:lang w:val="en-US" w:eastAsia="zh-CN"/>
        </w:rPr>
        <w:t>8900</w:t>
      </w:r>
      <w:r>
        <w:rPr>
          <w:rFonts w:hint="eastAsia"/>
          <w:color w:val="auto"/>
          <w:highlight w:val="none"/>
        </w:rPr>
        <w:t>亩，根据《灌区改造技术规范》（GB50599-2010），灌区灌溉面积</w:t>
      </w:r>
      <w:r>
        <w:rPr>
          <w:rFonts w:hint="eastAsia"/>
          <w:color w:val="auto"/>
          <w:highlight w:val="none"/>
          <w:lang w:eastAsia="zh-CN"/>
        </w:rPr>
        <w:t>小</w:t>
      </w:r>
      <w:r>
        <w:rPr>
          <w:rFonts w:hint="eastAsia"/>
          <w:color w:val="auto"/>
          <w:highlight w:val="none"/>
        </w:rPr>
        <w:t>于1万亩，为</w:t>
      </w:r>
      <w:r>
        <w:rPr>
          <w:rFonts w:hint="eastAsia"/>
          <w:color w:val="auto"/>
          <w:highlight w:val="none"/>
          <w:lang w:eastAsia="zh-CN"/>
        </w:rPr>
        <w:t>小</w:t>
      </w:r>
      <w:r>
        <w:rPr>
          <w:rFonts w:hint="eastAsia"/>
          <w:color w:val="auto"/>
          <w:highlight w:val="none"/>
        </w:rPr>
        <w:t>型灌区，本工程</w:t>
      </w:r>
      <w:r>
        <w:rPr>
          <w:rFonts w:hint="eastAsia"/>
          <w:color w:val="auto"/>
          <w:highlight w:val="none"/>
          <w:lang w:eastAsia="zh-CN"/>
        </w:rPr>
        <w:t>南大水库</w:t>
      </w:r>
      <w:r>
        <w:rPr>
          <w:rFonts w:hint="eastAsia"/>
          <w:color w:val="auto"/>
          <w:highlight w:val="none"/>
        </w:rPr>
        <w:t>灌区为</w:t>
      </w:r>
      <w:r>
        <w:rPr>
          <w:rFonts w:hint="eastAsia"/>
          <w:color w:val="auto"/>
          <w:highlight w:val="none"/>
          <w:lang w:eastAsia="zh-CN"/>
        </w:rPr>
        <w:t>小</w:t>
      </w:r>
      <w:r>
        <w:rPr>
          <w:rFonts w:hint="eastAsia"/>
          <w:color w:val="auto"/>
          <w:highlight w:val="none"/>
        </w:rPr>
        <w:t>型灌区，工程等别为</w:t>
      </w:r>
      <w:r>
        <w:rPr>
          <w:rFonts w:hint="eastAsia"/>
          <w:color w:val="auto"/>
          <w:highlight w:val="none"/>
          <w:lang w:eastAsia="zh-CN"/>
        </w:rPr>
        <w:t>Ⅴ</w:t>
      </w:r>
      <w:r>
        <w:rPr>
          <w:rFonts w:hint="eastAsia"/>
          <w:color w:val="auto"/>
          <w:highlight w:val="none"/>
        </w:rPr>
        <w:t>等。</w:t>
      </w:r>
    </w:p>
    <w:p>
      <w:pPr>
        <w:ind w:firstLine="480"/>
        <w:rPr>
          <w:color w:val="auto"/>
          <w:highlight w:val="none"/>
        </w:rPr>
      </w:pPr>
      <w:r>
        <w:rPr>
          <w:rFonts w:hint="eastAsia"/>
          <w:color w:val="auto"/>
          <w:highlight w:val="none"/>
        </w:rPr>
        <w:t>（2）建筑物级别及防洪标准</w:t>
      </w:r>
    </w:p>
    <w:p>
      <w:pPr>
        <w:ind w:firstLine="480"/>
        <w:rPr>
          <w:rFonts w:hint="eastAsia"/>
          <w:color w:val="auto"/>
          <w:highlight w:val="none"/>
        </w:rPr>
      </w:pPr>
      <w:r>
        <w:rPr>
          <w:rFonts w:hint="eastAsia"/>
          <w:color w:val="auto"/>
          <w:highlight w:val="none"/>
        </w:rPr>
        <w:t>本工程干渠以排洪、灌溉任务为主，根据《灌溉与排水工程设计规范》（GB 50288-2018）的规定，引水干渠的级别当按灌溉和排水流量分属两个不同工程级别时，应按其中较高的级别确定。因各引水干渠渠道灌溉流量和排水流量不同，本次工程分别按灌溉和排水流量选取工程级别，并按其中较高的级别确定。渠道全段级别5级，渠道防洪标准根据《灌溉与排水工程设计规范》表3.3.3，进行确定。各段渠道的防洪标准为10年一遇。</w:t>
      </w:r>
    </w:p>
    <w:p>
      <w:pPr>
        <w:pStyle w:val="335"/>
        <w:spacing w:before="120" w:after="120"/>
        <w:rPr>
          <w:color w:val="auto"/>
          <w:highlight w:val="none"/>
        </w:rPr>
      </w:pPr>
      <w:r>
        <w:rPr>
          <w:color w:val="auto"/>
          <w:highlight w:val="none"/>
        </w:rPr>
        <w:t>1.</w:t>
      </w:r>
      <w:r>
        <w:rPr>
          <w:rFonts w:hint="eastAsia"/>
          <w:color w:val="auto"/>
          <w:highlight w:val="none"/>
        </w:rPr>
        <w:t>5</w:t>
      </w:r>
      <w:r>
        <w:rPr>
          <w:color w:val="auto"/>
          <w:highlight w:val="none"/>
        </w:rPr>
        <w:t>.3 工程布置</w:t>
      </w:r>
      <w:bookmarkEnd w:id="55"/>
    </w:p>
    <w:p>
      <w:pPr>
        <w:ind w:firstLine="480"/>
        <w:rPr>
          <w:rFonts w:hint="eastAsia"/>
          <w:color w:val="auto"/>
          <w:highlight w:val="none"/>
        </w:rPr>
      </w:pPr>
      <w:r>
        <w:rPr>
          <w:rFonts w:hint="eastAsia"/>
          <w:color w:val="auto"/>
          <w:highlight w:val="none"/>
        </w:rPr>
        <w:t>原渠道布置较合理，本次设计基本维持现状。</w:t>
      </w:r>
      <w:r>
        <w:rPr>
          <w:rFonts w:hint="eastAsia"/>
          <w:color w:val="auto"/>
          <w:highlight w:val="none"/>
          <w:lang w:eastAsia="zh-CN"/>
        </w:rPr>
        <w:t>本工程主要由渠道、水闸、机耕桥等建筑物组成。</w:t>
      </w:r>
      <w:r>
        <w:rPr>
          <w:rFonts w:hint="eastAsia"/>
          <w:color w:val="auto"/>
          <w:highlight w:val="none"/>
        </w:rPr>
        <w:t>其渠道按原渠线不变进行改造；对原有建筑物的改造，在能满足过流的条件下，根据建筑物结构的完整性能保留的就保留、能利用的就利用。</w:t>
      </w:r>
    </w:p>
    <w:p>
      <w:pPr>
        <w:ind w:firstLine="480"/>
        <w:rPr>
          <w:rFonts w:hint="eastAsia"/>
          <w:color w:val="auto"/>
          <w:highlight w:val="none"/>
        </w:rPr>
      </w:pPr>
      <w:r>
        <w:rPr>
          <w:rFonts w:hint="eastAsia"/>
          <w:color w:val="auto"/>
          <w:highlight w:val="none"/>
        </w:rPr>
        <w:t>区内排水分高区和低区，高区指干渠及干渠外侧地势较高的地区，区内雨水，部分通过渠下涵直接穿过干渠排入集水区或河道，部分则进入渠道，再通过</w:t>
      </w:r>
      <w:r>
        <w:rPr>
          <w:rFonts w:hint="eastAsia"/>
          <w:color w:val="auto"/>
          <w:highlight w:val="none"/>
          <w:lang w:eastAsia="zh-CN"/>
        </w:rPr>
        <w:t>泄洪闸</w:t>
      </w:r>
      <w:r>
        <w:rPr>
          <w:rFonts w:hint="eastAsia"/>
          <w:color w:val="auto"/>
          <w:highlight w:val="none"/>
        </w:rPr>
        <w:t>排入集水区或河道。低区指干渠设计水位以下地区，区内排水由田间排水系统完成，就近排入周边排水渠道或河道。现状排水系统布置合理，本次工程维持现状，对局部不合理的渠段可根据实际情况进行局部调整、完善。</w:t>
      </w:r>
    </w:p>
    <w:p>
      <w:pPr>
        <w:ind w:firstLine="480"/>
        <w:rPr>
          <w:rFonts w:hint="eastAsia"/>
          <w:color w:val="auto"/>
          <w:highlight w:val="none"/>
        </w:rPr>
      </w:pPr>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主要建设内容是对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渠道进行三面光改造，改造总长为</w:t>
      </w:r>
      <w:r>
        <w:rPr>
          <w:rFonts w:hint="eastAsia"/>
          <w:b w:val="0"/>
          <w:bCs/>
          <w:color w:val="auto"/>
          <w:highlight w:val="none"/>
          <w:lang w:val="en-US" w:eastAsia="zh-CN"/>
        </w:rPr>
        <w:t>1207m，主要建筑物包括新建浆砌石渠道1207m，新建泄洪闸1座，拆除重建泄洪闸2座，拆除重建机耕桥2座，拆除重建人行桥5座，新建钢筋砼溢流面板1168m²等。</w:t>
      </w:r>
    </w:p>
    <w:p>
      <w:pPr>
        <w:ind w:firstLine="480"/>
        <w:rPr>
          <w:color w:val="auto"/>
          <w:highlight w:val="none"/>
        </w:rPr>
      </w:pPr>
      <w:r>
        <w:rPr>
          <w:rFonts w:hint="eastAsia"/>
          <w:color w:val="auto"/>
          <w:highlight w:val="none"/>
        </w:rPr>
        <w:t>（1）水源及渠首工程</w:t>
      </w:r>
    </w:p>
    <w:p>
      <w:pPr>
        <w:ind w:firstLine="480"/>
        <w:rPr>
          <w:rFonts w:hint="eastAsia"/>
          <w:color w:val="auto"/>
          <w:highlight w:val="none"/>
          <w:lang w:val="en-US" w:eastAsia="zh-CN"/>
        </w:rPr>
      </w:pPr>
      <w:r>
        <w:rPr>
          <w:rFonts w:hint="default"/>
          <w:color w:val="auto"/>
          <w:highlight w:val="none"/>
          <w:lang w:val="en-US" w:eastAsia="zh-CN"/>
        </w:rPr>
        <w:t>根据《广州</w:t>
      </w:r>
      <w:r>
        <w:rPr>
          <w:rFonts w:hint="eastAsia"/>
          <w:color w:val="auto"/>
          <w:highlight w:val="none"/>
          <w:lang w:val="en-US" w:eastAsia="zh-CN"/>
        </w:rPr>
        <w:t>省</w:t>
      </w:r>
      <w:r>
        <w:rPr>
          <w:rFonts w:hint="default"/>
          <w:color w:val="auto"/>
          <w:highlight w:val="none"/>
          <w:lang w:val="en-US" w:eastAsia="zh-CN"/>
        </w:rPr>
        <w:t>山区小型灌区改造工程规划（2011-2020年）》</w:t>
      </w:r>
      <w:r>
        <w:rPr>
          <w:rFonts w:hint="eastAsia"/>
          <w:color w:val="auto"/>
          <w:highlight w:val="none"/>
          <w:lang w:val="en-US" w:eastAsia="zh-CN"/>
        </w:rPr>
        <w:t>（粤水农水[2012]2号），从化区温泉镇南大水库灌区干渠起点位于南大水库下游约2km小海河干流右岸，灌溉用水取自于小海河流域河水，渠首处设置引水闸，干渠流经温泉镇桃莲村、桃莲村、平岗村和龙桥村等，终点位于龙桥村，灌区干渠总长约38km，设计灌溉面积为8900亩，设计取水流量为1.50m³/s，取水水量1600万m³，主要灌溉农作物有水稻、蔬菜、花生、大豆类等。</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南大水库大坝为本灌区主要来水水源，</w:t>
      </w:r>
      <w:r>
        <w:rPr>
          <w:rFonts w:hint="eastAsia"/>
          <w:color w:val="auto"/>
          <w:highlight w:val="none"/>
          <w:lang w:val="en-US" w:eastAsia="zh-CN"/>
        </w:rPr>
        <w:t>由于大坝溢流面批荡脱落，存在不同程序的损坏等问题，影响了大坝的行洪安全，若不进行整治，会进一步影响下游灌区防洪安全</w:t>
      </w:r>
      <w:r>
        <w:rPr>
          <w:rFonts w:hint="eastAsia"/>
          <w:color w:val="auto"/>
          <w:highlight w:val="none"/>
          <w:lang w:val="en-US" w:eastAsia="zh-CN"/>
        </w:rPr>
        <w:t>。本次设计对大坝溢流面进行改造，新建C30钢筋混凝土溢流护面，共1168m²。</w:t>
      </w:r>
    </w:p>
    <w:p>
      <w:pPr>
        <w:ind w:firstLine="480"/>
        <w:rPr>
          <w:color w:val="auto"/>
          <w:highlight w:val="none"/>
        </w:rPr>
      </w:pPr>
      <w:r>
        <w:rPr>
          <w:rFonts w:hint="eastAsia"/>
          <w:color w:val="auto"/>
          <w:highlight w:val="none"/>
        </w:rPr>
        <w:t>（2）渠系</w:t>
      </w:r>
    </w:p>
    <w:p>
      <w:pPr>
        <w:ind w:firstLine="480"/>
        <w:rPr>
          <w:rFonts w:hint="eastAsia"/>
          <w:color w:val="auto"/>
          <w:highlight w:val="none"/>
          <w:lang w:val="en-US" w:eastAsia="zh-CN"/>
        </w:rPr>
      </w:pPr>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渠道进行三面光改造，改造起点位于温泉镇桃莲村委后（桩号0+000），距离干渠渠首约5.5km，终点位于从莞深高速公路穿路箱涵进水口（桩号1+207），改造总长1207m。</w:t>
      </w:r>
    </w:p>
    <w:p>
      <w:pPr>
        <w:ind w:firstLine="480"/>
        <w:rPr>
          <w:rFonts w:hint="eastAsia"/>
          <w:color w:val="auto"/>
          <w:highlight w:val="none"/>
          <w:lang w:val="en-US" w:eastAsia="zh-CN"/>
        </w:rPr>
      </w:pPr>
      <w:r>
        <w:rPr>
          <w:color w:val="auto"/>
          <w:highlight w:val="none"/>
        </w:rPr>
        <w:t>现状渠系位置、走向</w:t>
      </w:r>
      <w:r>
        <w:rPr>
          <w:rFonts w:hint="eastAsia"/>
          <w:color w:val="auto"/>
          <w:highlight w:val="none"/>
        </w:rPr>
        <w:t>、</w:t>
      </w:r>
      <w:r>
        <w:rPr>
          <w:color w:val="auto"/>
          <w:highlight w:val="none"/>
        </w:rPr>
        <w:t>渠线布置基本合理的，故渠道按原渠线不变进行改造。</w:t>
      </w:r>
      <w:r>
        <w:rPr>
          <w:rFonts w:hint="eastAsia"/>
          <w:color w:val="auto"/>
          <w:highlight w:val="none"/>
          <w:lang w:eastAsia="zh-CN"/>
        </w:rPr>
        <w:t>结合工程实际，本工程</w:t>
      </w:r>
      <w:r>
        <w:rPr>
          <w:rFonts w:hint="eastAsia"/>
          <w:color w:val="auto"/>
          <w:highlight w:val="none"/>
          <w:lang w:val="en-US" w:eastAsia="zh-CN"/>
        </w:rPr>
        <w:t>0+000~1+207渠段设计为浆砌石梯形渠道，渠底宽为2.6m，高为1.8m，边坡为1:0.4，长为1207m。</w:t>
      </w:r>
    </w:p>
    <w:p>
      <w:pPr>
        <w:ind w:firstLine="480"/>
        <w:rPr>
          <w:color w:val="auto"/>
          <w:kern w:val="0"/>
          <w:highlight w:val="none"/>
          <w:lang w:bidi="en-US"/>
        </w:rPr>
      </w:pPr>
      <w:r>
        <w:rPr>
          <w:rFonts w:hint="eastAsia"/>
          <w:color w:val="auto"/>
          <w:kern w:val="0"/>
          <w:highlight w:val="none"/>
          <w:lang w:bidi="en-US"/>
        </w:rPr>
        <w:t>（3）灌排建筑物</w:t>
      </w:r>
    </w:p>
    <w:p>
      <w:pPr>
        <w:ind w:firstLine="480"/>
        <w:rPr>
          <w:rFonts w:hint="eastAsia"/>
          <w:color w:val="auto"/>
          <w:kern w:val="0"/>
          <w:highlight w:val="none"/>
          <w:lang w:val="en-US" w:eastAsia="zh-CN" w:bidi="en-US"/>
        </w:rPr>
      </w:pPr>
      <w:r>
        <w:rPr>
          <w:rFonts w:hint="eastAsia"/>
          <w:color w:val="auto"/>
          <w:kern w:val="0"/>
          <w:highlight w:val="none"/>
          <w:lang w:eastAsia="zh-CN" w:bidi="en-US"/>
        </w:rPr>
        <w:t>结合工程实际，本工程</w:t>
      </w:r>
      <w:r>
        <w:rPr>
          <w:rFonts w:hint="eastAsia"/>
          <w:color w:val="auto"/>
          <w:kern w:val="0"/>
          <w:highlight w:val="none"/>
          <w:lang w:val="en-US" w:eastAsia="zh-CN" w:bidi="en-US"/>
        </w:rPr>
        <w:t>3设计布置泄洪闸3座，分别布置在0+005，0+100，1+000。</w:t>
      </w:r>
    </w:p>
    <w:p>
      <w:pPr>
        <w:ind w:firstLine="480"/>
        <w:rPr>
          <w:rFonts w:hint="eastAsia"/>
          <w:color w:val="auto"/>
          <w:highlight w:val="none"/>
          <w:lang w:val="en-US" w:eastAsia="zh-CN"/>
        </w:rPr>
      </w:pPr>
      <w:r>
        <w:rPr>
          <w:rFonts w:hint="eastAsia"/>
          <w:color w:val="auto"/>
          <w:highlight w:val="none"/>
          <w:lang w:val="en-US" w:eastAsia="zh-CN"/>
        </w:rPr>
        <w:t>由于本工程灌溉渠道右侧均为原状山体，山体十分陡峭，根据渠道几十年的运行情况，在遇到暴雨时，很容易出现山体塌方，塌方土方堵塞渠道，导致无法排泄山洪引起外渠堤塌方，严重影响渠道安全，结合实际需要，本次设计考虑在1+000处新建泄洪闸1座，对0+005及0+100处水闸进行拆除重建。</w:t>
      </w:r>
    </w:p>
    <w:p>
      <w:pPr>
        <w:pStyle w:val="3"/>
        <w:rPr>
          <w:color w:val="auto"/>
          <w:highlight w:val="none"/>
        </w:rPr>
      </w:pPr>
      <w:bookmarkStart w:id="56" w:name="_Toc8013"/>
      <w:bookmarkStart w:id="57" w:name="_Toc536295032"/>
      <w:bookmarkStart w:id="58" w:name="_Toc415834256"/>
      <w:r>
        <w:rPr>
          <w:rFonts w:hint="eastAsia"/>
          <w:color w:val="auto"/>
          <w:highlight w:val="none"/>
        </w:rPr>
        <w:t>1.</w:t>
      </w:r>
      <w:r>
        <w:rPr>
          <w:rFonts w:hint="eastAsia"/>
          <w:color w:val="auto"/>
          <w:highlight w:val="none"/>
          <w:lang w:val="en-US" w:eastAsia="zh-CN"/>
        </w:rPr>
        <w:t>6</w:t>
      </w:r>
      <w:r>
        <w:rPr>
          <w:rFonts w:hint="eastAsia"/>
          <w:color w:val="auto"/>
          <w:highlight w:val="none"/>
        </w:rPr>
        <w:t xml:space="preserve"> 消防设计</w:t>
      </w:r>
      <w:bookmarkEnd w:id="56"/>
    </w:p>
    <w:p>
      <w:pPr>
        <w:ind w:firstLine="480"/>
        <w:rPr>
          <w:rFonts w:hint="eastAsia"/>
          <w:color w:val="auto"/>
          <w:highlight w:val="none"/>
        </w:rPr>
      </w:pPr>
      <w:r>
        <w:rPr>
          <w:rFonts w:hint="eastAsia"/>
          <w:color w:val="auto"/>
          <w:highlight w:val="none"/>
        </w:rPr>
        <w:t>本工程消防设计贯彻“预防为主，防消结合”和确保终点、兼顾一般、便于管理、经济实用的原则。工程远离城镇，消防设施的配置应以消防自救为主，外援为辅。在工程总体布置中防火间距、安全出口均应满足规范要求。</w:t>
      </w:r>
    </w:p>
    <w:p>
      <w:pPr>
        <w:ind w:firstLine="480"/>
        <w:rPr>
          <w:rFonts w:hint="eastAsia"/>
          <w:color w:val="auto"/>
          <w:highlight w:val="none"/>
        </w:rPr>
      </w:pPr>
      <w:r>
        <w:rPr>
          <w:rFonts w:hint="eastAsia"/>
          <w:color w:val="auto"/>
          <w:highlight w:val="none"/>
        </w:rPr>
        <w:t>选用的消防设备均应安全可靠、使用方便、技术先进、经济合理，并满足本工程的特殊要求。所选用的产品均应为经国家有关产品质量监督检测部门检验合格的产品。</w:t>
      </w:r>
    </w:p>
    <w:p>
      <w:pPr>
        <w:ind w:firstLine="480"/>
        <w:rPr>
          <w:rFonts w:hint="eastAsia"/>
          <w:color w:val="auto"/>
          <w:highlight w:val="none"/>
        </w:rPr>
      </w:pPr>
      <w:r>
        <w:rPr>
          <w:rFonts w:hint="eastAsia"/>
          <w:color w:val="auto"/>
          <w:highlight w:val="none"/>
        </w:rPr>
        <w:t>设计贯彻“预防为主，防消结合”的工作方针，以预防和减少火灾危害。</w:t>
      </w:r>
    </w:p>
    <w:p>
      <w:pPr>
        <w:ind w:firstLine="480"/>
        <w:rPr>
          <w:rFonts w:hint="eastAsia"/>
          <w:color w:val="auto"/>
          <w:highlight w:val="none"/>
        </w:rPr>
      </w:pPr>
      <w:r>
        <w:rPr>
          <w:rFonts w:hint="eastAsia"/>
          <w:color w:val="auto"/>
          <w:highlight w:val="none"/>
          <w:lang w:val="zh-CN"/>
        </w:rPr>
        <w:t>本工程消防设计贯彻“预防为主，防消结合”和确保重点、兼顾一般、便于管理、经济实用的原则。设计中，采用“一防、二断、三灭、四排”的综合消防技术措施。</w:t>
      </w:r>
    </w:p>
    <w:p>
      <w:pPr>
        <w:ind w:firstLine="480"/>
        <w:rPr>
          <w:rFonts w:hint="eastAsia"/>
          <w:color w:val="auto"/>
          <w:highlight w:val="none"/>
        </w:rPr>
      </w:pPr>
      <w:r>
        <w:rPr>
          <w:rFonts w:hint="eastAsia"/>
          <w:color w:val="auto"/>
          <w:highlight w:val="none"/>
        </w:rPr>
        <w:t>本工程的渠顶路作为消防通道，均为公路直接连接，保证消防通道畅通，满足规范要求。</w:t>
      </w:r>
    </w:p>
    <w:p>
      <w:pPr>
        <w:ind w:firstLine="480"/>
        <w:rPr>
          <w:rFonts w:hint="eastAsia"/>
          <w:color w:val="auto"/>
          <w:highlight w:val="none"/>
        </w:rPr>
      </w:pPr>
      <w:r>
        <w:rPr>
          <w:rFonts w:hint="eastAsia"/>
          <w:color w:val="auto"/>
          <w:highlight w:val="none"/>
        </w:rPr>
        <w:t>消防设计考根据场地的重要性和火灾危险性程度配置清防设施和器材，对特殊部位按防火规范采取相应的消防措施，一旦发生火灾，尽量避免人员伤亡和减少经济损失。</w:t>
      </w:r>
    </w:p>
    <w:p>
      <w:pPr>
        <w:ind w:firstLine="480"/>
        <w:rPr>
          <w:rFonts w:hint="eastAsia"/>
          <w:color w:val="auto"/>
          <w:highlight w:val="none"/>
        </w:rPr>
      </w:pPr>
      <w:r>
        <w:rPr>
          <w:rFonts w:hint="eastAsia"/>
          <w:color w:val="auto"/>
          <w:highlight w:val="none"/>
        </w:rPr>
        <w:t>在可能发生火灾的场所，对设备的布置、安装、建筑物内装修、电缘敷设上采取有效的预防措施，以减少火灾发生。通过消防设计及设置消防设施,以及必要的消防通道、疏散通道，以达到一旦发生火灾，能迅速灭火或限制其范围，将人员伤亡和财产损失减少到最小程度。</w:t>
      </w:r>
    </w:p>
    <w:p>
      <w:pPr>
        <w:ind w:firstLine="480"/>
        <w:rPr>
          <w:rFonts w:hint="eastAsia"/>
          <w:color w:val="auto"/>
          <w:highlight w:val="none"/>
        </w:rPr>
      </w:pPr>
      <w:r>
        <w:rPr>
          <w:rFonts w:hint="eastAsia"/>
          <w:color w:val="auto"/>
          <w:highlight w:val="none"/>
        </w:rPr>
        <w:t>本工程采用室外消火栓的灭火方式，天然水源可作为消防给水水源。</w:t>
      </w:r>
    </w:p>
    <w:p>
      <w:pPr>
        <w:ind w:firstLine="480"/>
        <w:rPr>
          <w:rFonts w:hint="eastAsia"/>
          <w:color w:val="auto"/>
          <w:highlight w:val="none"/>
        </w:rPr>
      </w:pPr>
      <w:r>
        <w:rPr>
          <w:rFonts w:hint="eastAsia"/>
          <w:color w:val="auto"/>
          <w:highlight w:val="none"/>
        </w:rPr>
        <w:t>本工程尽可能采用阻燃、难燃性材料为绝缘介质的电气设备，以防止和减少火灾发生。孔洞及电缆道用耐火材料封堵、分割，以防止火灾蔓延扩展。</w:t>
      </w:r>
    </w:p>
    <w:p>
      <w:pPr>
        <w:ind w:firstLine="480"/>
        <w:rPr>
          <w:rFonts w:hint="eastAsia"/>
          <w:color w:val="auto"/>
          <w:highlight w:val="none"/>
        </w:rPr>
      </w:pPr>
      <w:r>
        <w:rPr>
          <w:rFonts w:hint="eastAsia"/>
          <w:color w:val="auto"/>
          <w:highlight w:val="none"/>
        </w:rPr>
        <w:t>所有防火设施的设置与工程相适应，同时进行，同时形成。</w:t>
      </w:r>
    </w:p>
    <w:p>
      <w:pPr>
        <w:ind w:firstLine="480"/>
        <w:rPr>
          <w:rFonts w:hint="eastAsia"/>
          <w:color w:val="auto"/>
          <w:highlight w:val="none"/>
        </w:rPr>
      </w:pPr>
      <w:r>
        <w:rPr>
          <w:rFonts w:hint="eastAsia"/>
          <w:color w:val="auto"/>
          <w:highlight w:val="none"/>
        </w:rPr>
        <w:t>全部管理人员都要接受防火设备和消防设施使用培训，学会防火设备和消防设施的使用。定期对消火剂进行检查和更换等工作，并负责相关人员的消防知识培训。</w:t>
      </w:r>
    </w:p>
    <w:bookmarkEnd w:id="57"/>
    <w:bookmarkEnd w:id="58"/>
    <w:p>
      <w:pPr>
        <w:pStyle w:val="3"/>
        <w:rPr>
          <w:color w:val="auto"/>
          <w:highlight w:val="none"/>
        </w:rPr>
      </w:pPr>
      <w:bookmarkStart w:id="59" w:name="_Toc14541"/>
      <w:bookmarkStart w:id="60" w:name="_Toc536295037"/>
      <w:r>
        <w:rPr>
          <w:color w:val="auto"/>
          <w:highlight w:val="none"/>
        </w:rPr>
        <w:t>1.</w:t>
      </w:r>
      <w:r>
        <w:rPr>
          <w:rFonts w:hint="eastAsia"/>
          <w:color w:val="auto"/>
          <w:highlight w:val="none"/>
          <w:lang w:val="en-US" w:eastAsia="zh-CN"/>
        </w:rPr>
        <w:t>7</w:t>
      </w:r>
      <w:r>
        <w:rPr>
          <w:color w:val="auto"/>
          <w:highlight w:val="none"/>
        </w:rPr>
        <w:t xml:space="preserve"> </w:t>
      </w:r>
      <w:r>
        <w:rPr>
          <w:rFonts w:hint="eastAsia"/>
          <w:color w:val="auto"/>
          <w:highlight w:val="none"/>
        </w:rPr>
        <w:t>施工组织设计</w:t>
      </w:r>
      <w:bookmarkEnd w:id="59"/>
    </w:p>
    <w:p>
      <w:pPr>
        <w:pStyle w:val="335"/>
        <w:spacing w:before="120" w:after="120"/>
        <w:rPr>
          <w:color w:val="auto"/>
          <w:highlight w:val="none"/>
        </w:rPr>
      </w:pPr>
      <w:bookmarkStart w:id="61" w:name="_Toc322093230"/>
      <w:bookmarkStart w:id="62" w:name="_Toc328618596"/>
      <w:bookmarkStart w:id="63" w:name="_Toc322358310"/>
      <w:bookmarkStart w:id="64" w:name="_Toc323046824"/>
      <w:bookmarkStart w:id="65" w:name="_Toc321834794"/>
      <w:bookmarkStart w:id="66" w:name="_Toc536295033"/>
      <w:r>
        <w:rPr>
          <w:rFonts w:hint="eastAsia"/>
          <w:color w:val="auto"/>
          <w:highlight w:val="none"/>
        </w:rPr>
        <w:t>1.</w:t>
      </w:r>
      <w:r>
        <w:rPr>
          <w:rFonts w:hint="eastAsia"/>
          <w:color w:val="auto"/>
          <w:highlight w:val="none"/>
          <w:lang w:val="en-US" w:eastAsia="zh-CN"/>
        </w:rPr>
        <w:t>7</w:t>
      </w:r>
      <w:r>
        <w:rPr>
          <w:rFonts w:hint="eastAsia"/>
          <w:color w:val="auto"/>
          <w:highlight w:val="none"/>
        </w:rPr>
        <w:t>.1</w:t>
      </w:r>
      <w:bookmarkEnd w:id="61"/>
      <w:bookmarkEnd w:id="62"/>
      <w:bookmarkEnd w:id="63"/>
      <w:bookmarkEnd w:id="64"/>
      <w:bookmarkEnd w:id="65"/>
      <w:r>
        <w:rPr>
          <w:rFonts w:hint="eastAsia"/>
          <w:color w:val="auto"/>
          <w:highlight w:val="none"/>
        </w:rPr>
        <w:t xml:space="preserve"> 施工条件</w:t>
      </w:r>
      <w:bookmarkEnd w:id="66"/>
    </w:p>
    <w:p>
      <w:pPr>
        <w:pStyle w:val="415"/>
        <w:rPr>
          <w:rFonts w:hint="eastAsia"/>
          <w:color w:val="auto"/>
          <w:highlight w:val="none"/>
          <w:lang w:val="en-US"/>
        </w:rPr>
      </w:pPr>
      <w:bookmarkStart w:id="67" w:name="_Toc323046825"/>
      <w:bookmarkStart w:id="68" w:name="_Toc322093231"/>
      <w:bookmarkStart w:id="69" w:name="_Toc322358311"/>
      <w:bookmarkStart w:id="70" w:name="_Toc536295034"/>
      <w:bookmarkStart w:id="71" w:name="_Toc328618597"/>
      <w:bookmarkStart w:id="72" w:name="_Toc321834796"/>
      <w:r>
        <w:rPr>
          <w:rFonts w:hint="eastAsia"/>
          <w:color w:val="auto"/>
          <w:highlight w:val="none"/>
          <w:lang w:val="en-US"/>
        </w:rPr>
        <w:t>据现场考察情况，</w:t>
      </w:r>
      <w:r>
        <w:rPr>
          <w:rFonts w:hint="eastAsia"/>
          <w:color w:val="auto"/>
          <w:highlight w:val="none"/>
          <w:lang w:val="en-US" w:eastAsia="zh-CN"/>
        </w:rPr>
        <w:t>本工程位于温泉镇桃莲村后山腰间，有混凝土路面的村社道直达山脚下，山脚至施工现场有山路连接，需修建临时施工道路。本工程拟在山脚下修建1条临时施工道路至施工现场，总长为400m，路宽为5m，机械平整场地后面铺筑泥结碎石路面，厚度为150mm，铺筑材料待完工后均需清理外弃，外弃综合运距为8km。</w:t>
      </w:r>
    </w:p>
    <w:p>
      <w:pPr>
        <w:ind w:firstLine="480"/>
        <w:rPr>
          <w:color w:val="auto"/>
          <w:highlight w:val="none"/>
        </w:rPr>
      </w:pPr>
      <w:r>
        <w:rPr>
          <w:rFonts w:hint="eastAsia"/>
          <w:color w:val="auto"/>
          <w:highlight w:val="none"/>
        </w:rPr>
        <w:t>主要外来建筑材料（钢筋钢材、水泥、木材、油料及火工材料等）：水泥采用就近水泥厂生产的水泥；所用钢材、木材从从化、增城、清远采购；油料从当地的加油站采购；火工产品从当地公安部门的供销公司采购；一般性材料和临建工程所需物资由承包商结合当地条件组织采购。</w:t>
      </w:r>
    </w:p>
    <w:p>
      <w:pPr>
        <w:ind w:firstLine="480"/>
        <w:rPr>
          <w:color w:val="auto"/>
          <w:highlight w:val="none"/>
        </w:rPr>
      </w:pPr>
      <w:r>
        <w:rPr>
          <w:rFonts w:hint="eastAsia"/>
          <w:color w:val="auto"/>
          <w:highlight w:val="none"/>
        </w:rPr>
        <w:t>施工供电：以自发电为主，并适当利用当地的供电系统。</w:t>
      </w:r>
    </w:p>
    <w:p>
      <w:pPr>
        <w:ind w:firstLine="480"/>
        <w:rPr>
          <w:color w:val="auto"/>
          <w:highlight w:val="none"/>
        </w:rPr>
      </w:pPr>
      <w:r>
        <w:rPr>
          <w:rFonts w:hint="eastAsia"/>
          <w:color w:val="auto"/>
          <w:highlight w:val="none"/>
        </w:rPr>
        <w:t>施工供水：各施工点靠近库、塘、河、渠、沟等地面水的可就近抽取，部分渠道的施工用水较困难的，可采用人工打井抽取地下水解决。</w:t>
      </w:r>
    </w:p>
    <w:p>
      <w:pPr>
        <w:ind w:firstLine="480"/>
        <w:rPr>
          <w:color w:val="auto"/>
          <w:highlight w:val="none"/>
        </w:rPr>
      </w:pPr>
      <w:r>
        <w:rPr>
          <w:rFonts w:hint="eastAsia"/>
          <w:color w:val="auto"/>
          <w:highlight w:val="none"/>
        </w:rPr>
        <w:t>各渠段分布在乡镇，工程施工临时生活设施、维修加工厂等尽量利用当地乡镇资源，简化施工临时设施。</w:t>
      </w:r>
    </w:p>
    <w:bookmarkEnd w:id="67"/>
    <w:bookmarkEnd w:id="68"/>
    <w:bookmarkEnd w:id="69"/>
    <w:bookmarkEnd w:id="70"/>
    <w:bookmarkEnd w:id="71"/>
    <w:bookmarkEnd w:id="72"/>
    <w:p>
      <w:pPr>
        <w:pStyle w:val="335"/>
        <w:spacing w:before="120" w:after="120"/>
        <w:rPr>
          <w:color w:val="auto"/>
          <w:highlight w:val="none"/>
        </w:rPr>
      </w:pPr>
      <w:bookmarkStart w:id="73" w:name="_Toc536295035"/>
      <w:r>
        <w:rPr>
          <w:rFonts w:hint="eastAsia"/>
          <w:color w:val="auto"/>
          <w:highlight w:val="none"/>
        </w:rPr>
        <w:t>1.</w:t>
      </w:r>
      <w:r>
        <w:rPr>
          <w:rFonts w:hint="eastAsia"/>
          <w:color w:val="auto"/>
          <w:highlight w:val="none"/>
          <w:lang w:val="en-US" w:eastAsia="zh-CN"/>
        </w:rPr>
        <w:t>7</w:t>
      </w:r>
      <w:r>
        <w:rPr>
          <w:rFonts w:hint="eastAsia"/>
          <w:color w:val="auto"/>
          <w:highlight w:val="none"/>
        </w:rPr>
        <w:t>.2 施工导流</w:t>
      </w:r>
      <w:bookmarkEnd w:id="73"/>
    </w:p>
    <w:p>
      <w:pPr>
        <w:ind w:firstLine="480"/>
        <w:rPr>
          <w:snapToGrid w:val="0"/>
          <w:color w:val="auto"/>
          <w:kern w:val="0"/>
          <w:szCs w:val="18"/>
          <w:highlight w:val="none"/>
          <w:lang w:val="zh-CN"/>
        </w:rPr>
      </w:pPr>
      <w:r>
        <w:rPr>
          <w:rFonts w:hint="eastAsia"/>
          <w:snapToGrid w:val="0"/>
          <w:color w:val="auto"/>
          <w:kern w:val="0"/>
          <w:szCs w:val="18"/>
          <w:highlight w:val="none"/>
          <w:lang w:val="zh-CN"/>
        </w:rPr>
        <w:t>根据《灌溉与排水工程设计标准》（GB50288-2018），《水利水电工程等级划分及洪水标准》（SL252-2017），灌溉渠道等级与灌溉设计流量相关，根据渠道各段灌溉设计流量，南大水库灌区干渠全段为5级渠道。因此，施工期临时建筑物级别为5级，施工期洪水标准均取5年一遇。</w:t>
      </w:r>
    </w:p>
    <w:p>
      <w:pPr>
        <w:ind w:firstLine="480"/>
        <w:rPr>
          <w:color w:val="auto"/>
          <w:highlight w:val="none"/>
        </w:rPr>
      </w:pPr>
      <w:r>
        <w:rPr>
          <w:rFonts w:hint="eastAsia"/>
          <w:snapToGrid w:val="0"/>
          <w:color w:val="auto"/>
          <w:kern w:val="0"/>
          <w:szCs w:val="18"/>
          <w:highlight w:val="none"/>
          <w:lang w:val="zh-CN"/>
        </w:rPr>
        <w:t>由于本工程改造段现状已多年不通水，本工程施工时在工程起点处设置围堰拦截来水即可，不需考虑施工导流措施。施工期间如遇暴雨，可从渠道沿线原有泄洪闸排泄。</w:t>
      </w:r>
    </w:p>
    <w:p>
      <w:pPr>
        <w:pStyle w:val="335"/>
        <w:spacing w:before="120" w:after="120"/>
        <w:rPr>
          <w:color w:val="auto"/>
          <w:highlight w:val="none"/>
        </w:rPr>
      </w:pPr>
      <w:bookmarkStart w:id="74" w:name="_Toc536295036"/>
      <w:r>
        <w:rPr>
          <w:rFonts w:hint="eastAsia"/>
          <w:color w:val="auto"/>
          <w:highlight w:val="none"/>
        </w:rPr>
        <w:t>1.</w:t>
      </w:r>
      <w:r>
        <w:rPr>
          <w:rFonts w:hint="eastAsia"/>
          <w:color w:val="auto"/>
          <w:highlight w:val="none"/>
          <w:lang w:val="en-US" w:eastAsia="zh-CN"/>
        </w:rPr>
        <w:t>7</w:t>
      </w:r>
      <w:r>
        <w:rPr>
          <w:rFonts w:hint="eastAsia"/>
          <w:color w:val="auto"/>
          <w:highlight w:val="none"/>
        </w:rPr>
        <w:t xml:space="preserve">.3 </w:t>
      </w:r>
      <w:bookmarkEnd w:id="74"/>
      <w:r>
        <w:rPr>
          <w:rFonts w:hint="eastAsia"/>
          <w:color w:val="auto"/>
          <w:highlight w:val="none"/>
        </w:rPr>
        <w:t>施工总进度</w:t>
      </w:r>
    </w:p>
    <w:p>
      <w:pPr>
        <w:pStyle w:val="415"/>
        <w:rPr>
          <w:color w:val="auto"/>
          <w:highlight w:val="none"/>
        </w:rPr>
      </w:pPr>
      <w:r>
        <w:rPr>
          <w:rFonts w:hint="eastAsia"/>
          <w:color w:val="auto"/>
          <w:highlight w:val="none"/>
        </w:rPr>
        <w:t>结合本工程施工场地、条件和特性，制定具体施工方案， 施工进度分为：</w:t>
      </w:r>
    </w:p>
    <w:p>
      <w:pPr>
        <w:pStyle w:val="415"/>
        <w:rPr>
          <w:color w:val="auto"/>
          <w:highlight w:val="none"/>
        </w:rPr>
      </w:pPr>
      <w:r>
        <w:rPr>
          <w:rFonts w:hint="eastAsia"/>
          <w:color w:val="auto"/>
          <w:highlight w:val="none"/>
        </w:rPr>
        <w:t>1）工程准备期：准备工程开工起至主体工程开工前的工期，包括场地平整、场内交通、导流工程、临时建房等。工程准备期拟计划1个月。</w:t>
      </w:r>
    </w:p>
    <w:p>
      <w:pPr>
        <w:pStyle w:val="415"/>
        <w:rPr>
          <w:color w:val="auto"/>
          <w:highlight w:val="none"/>
        </w:rPr>
      </w:pPr>
      <w:r>
        <w:rPr>
          <w:rFonts w:hint="eastAsia"/>
          <w:color w:val="auto"/>
          <w:highlight w:val="none"/>
        </w:rPr>
        <w:t>2）主体工程施工期：主体工程主要为渠道衬砌、</w:t>
      </w:r>
      <w:r>
        <w:rPr>
          <w:rFonts w:hint="eastAsia"/>
          <w:color w:val="auto"/>
          <w:highlight w:val="none"/>
          <w:lang w:eastAsia="zh-CN"/>
        </w:rPr>
        <w:t>渠水闸</w:t>
      </w:r>
      <w:r>
        <w:rPr>
          <w:rFonts w:hint="eastAsia"/>
          <w:color w:val="auto"/>
          <w:highlight w:val="none"/>
        </w:rPr>
        <w:t>、</w:t>
      </w:r>
      <w:r>
        <w:rPr>
          <w:rFonts w:hint="eastAsia"/>
          <w:color w:val="auto"/>
          <w:highlight w:val="none"/>
          <w:lang w:eastAsia="zh-CN"/>
        </w:rPr>
        <w:t>渡槽</w:t>
      </w:r>
      <w:r>
        <w:rPr>
          <w:rFonts w:hint="eastAsia"/>
          <w:color w:val="auto"/>
          <w:highlight w:val="none"/>
        </w:rPr>
        <w:t>等，根据各主体工程量，实施工期拟计划为</w:t>
      </w:r>
      <w:r>
        <w:rPr>
          <w:rFonts w:hint="eastAsia"/>
          <w:color w:val="auto"/>
          <w:highlight w:val="none"/>
          <w:lang w:val="en-US" w:eastAsia="zh-CN"/>
        </w:rPr>
        <w:t>6</w:t>
      </w:r>
      <w:r>
        <w:rPr>
          <w:rFonts w:hint="eastAsia"/>
          <w:color w:val="auto"/>
          <w:highlight w:val="none"/>
        </w:rPr>
        <w:t>个月。</w:t>
      </w:r>
    </w:p>
    <w:p>
      <w:pPr>
        <w:pStyle w:val="415"/>
        <w:rPr>
          <w:color w:val="auto"/>
          <w:highlight w:val="none"/>
        </w:rPr>
      </w:pPr>
      <w:r>
        <w:rPr>
          <w:rFonts w:hint="eastAsia"/>
          <w:color w:val="auto"/>
          <w:highlight w:val="none"/>
        </w:rPr>
        <w:t>3）工程完建期：自工程完工运行起至工程竣工止的日期。工程完建期拟计划1个月。</w:t>
      </w:r>
    </w:p>
    <w:p>
      <w:pPr>
        <w:pStyle w:val="415"/>
        <w:rPr>
          <w:color w:val="auto"/>
          <w:highlight w:val="none"/>
        </w:rPr>
      </w:pPr>
      <w:r>
        <w:rPr>
          <w:rFonts w:hint="eastAsia"/>
          <w:color w:val="auto"/>
          <w:highlight w:val="none"/>
        </w:rPr>
        <w:t>工程施工总工期为1-3项工期之和，总工期</w:t>
      </w:r>
      <w:r>
        <w:rPr>
          <w:rFonts w:hint="eastAsia"/>
          <w:color w:val="auto"/>
          <w:highlight w:val="none"/>
          <w:lang w:val="en-US" w:eastAsia="zh-CN"/>
        </w:rPr>
        <w:t>8</w:t>
      </w:r>
      <w:r>
        <w:rPr>
          <w:rFonts w:hint="eastAsia"/>
          <w:color w:val="auto"/>
          <w:highlight w:val="none"/>
        </w:rPr>
        <w:t>个月。</w:t>
      </w:r>
    </w:p>
    <w:p>
      <w:pPr>
        <w:pStyle w:val="3"/>
        <w:rPr>
          <w:color w:val="auto"/>
          <w:highlight w:val="none"/>
        </w:rPr>
      </w:pPr>
      <w:bookmarkStart w:id="75" w:name="_Toc27458"/>
      <w:r>
        <w:rPr>
          <w:rFonts w:hint="eastAsia"/>
          <w:color w:val="auto"/>
          <w:highlight w:val="none"/>
        </w:rPr>
        <w:t>1.</w:t>
      </w:r>
      <w:r>
        <w:rPr>
          <w:rFonts w:hint="eastAsia"/>
          <w:color w:val="auto"/>
          <w:highlight w:val="none"/>
          <w:lang w:val="en-US" w:eastAsia="zh-CN"/>
        </w:rPr>
        <w:t>8</w:t>
      </w:r>
      <w:r>
        <w:rPr>
          <w:rFonts w:hint="eastAsia"/>
          <w:color w:val="auto"/>
          <w:highlight w:val="none"/>
        </w:rPr>
        <w:t xml:space="preserve"> 建设征地与移民安置</w:t>
      </w:r>
      <w:bookmarkEnd w:id="60"/>
      <w:bookmarkEnd w:id="75"/>
    </w:p>
    <w:p>
      <w:pPr>
        <w:pStyle w:val="335"/>
        <w:spacing w:before="120" w:after="120"/>
        <w:rPr>
          <w:rFonts w:hint="eastAsia"/>
          <w:color w:val="auto"/>
          <w:highlight w:val="none"/>
          <w:lang w:val="en-US" w:eastAsia="zh-CN"/>
        </w:rPr>
      </w:pPr>
      <w:r>
        <w:rPr>
          <w:rFonts w:hint="eastAsia"/>
          <w:color w:val="auto"/>
          <w:highlight w:val="none"/>
          <w:lang w:val="en-US" w:eastAsia="zh-CN"/>
        </w:rPr>
        <w:t>1.8.1 工程占地范围及实物指标</w:t>
      </w:r>
    </w:p>
    <w:p>
      <w:pPr>
        <w:ind w:firstLine="480"/>
        <w:rPr>
          <w:rFonts w:hint="eastAsia"/>
          <w:color w:val="auto"/>
          <w:highlight w:val="none"/>
        </w:rPr>
      </w:pPr>
      <w:r>
        <w:rPr>
          <w:rFonts w:hint="eastAsia"/>
          <w:color w:val="auto"/>
          <w:highlight w:val="none"/>
        </w:rPr>
        <w:t>根据调查及测量结果统计，本工程占地范围内实物指标统计汇总情况如下。</w:t>
      </w:r>
    </w:p>
    <w:p>
      <w:pPr>
        <w:ind w:firstLine="480"/>
        <w:rPr>
          <w:rFonts w:hint="eastAsia"/>
          <w:color w:val="auto"/>
          <w:highlight w:val="none"/>
        </w:rPr>
      </w:pPr>
      <w:r>
        <w:rPr>
          <w:rFonts w:hint="eastAsia"/>
          <w:color w:val="auto"/>
          <w:highlight w:val="none"/>
        </w:rPr>
        <w:t>（1）土地</w:t>
      </w:r>
    </w:p>
    <w:p>
      <w:pPr>
        <w:ind w:firstLine="480"/>
        <w:rPr>
          <w:rFonts w:hint="eastAsia"/>
          <w:color w:val="auto"/>
          <w:highlight w:val="none"/>
        </w:rPr>
      </w:pPr>
      <w:r>
        <w:rPr>
          <w:rFonts w:hint="eastAsia"/>
          <w:color w:val="auto"/>
          <w:highlight w:val="none"/>
        </w:rPr>
        <w:t>本工程新增永久占地范围：南大水库灌区右岸为原状山体，左岸为现状渠堤路，本设计考虑渠道左岸新增永久占地无需征地，渠道右岸新增永久占地需征地。</w:t>
      </w:r>
      <w:r>
        <w:rPr>
          <w:rFonts w:hint="eastAsia"/>
          <w:color w:val="auto"/>
          <w:highlight w:val="none"/>
          <w:lang w:eastAsia="zh-CN"/>
        </w:rPr>
        <w:t>本设计</w:t>
      </w:r>
      <w:r>
        <w:rPr>
          <w:rFonts w:hint="eastAsia"/>
          <w:color w:val="auto"/>
          <w:highlight w:val="none"/>
        </w:rPr>
        <w:t>暂按设计永久占地边线与原渠道或泄水建筑物外边线所夹范围内的全部占地</w:t>
      </w:r>
      <w:r>
        <w:rPr>
          <w:rFonts w:hint="eastAsia"/>
          <w:color w:val="auto"/>
          <w:highlight w:val="none"/>
          <w:lang w:eastAsia="zh-CN"/>
        </w:rPr>
        <w:t>为</w:t>
      </w:r>
      <w:r>
        <w:rPr>
          <w:rFonts w:hint="eastAsia"/>
          <w:color w:val="auto"/>
          <w:highlight w:val="none"/>
        </w:rPr>
        <w:t>新增永久占地范围，经统计，共需新增永久占地为</w:t>
      </w:r>
      <w:r>
        <w:rPr>
          <w:rFonts w:hint="eastAsia"/>
          <w:color w:val="auto"/>
          <w:highlight w:val="none"/>
          <w:lang w:val="en-US" w:eastAsia="zh-CN"/>
        </w:rPr>
        <w:t>2.29</w:t>
      </w:r>
      <w:r>
        <w:rPr>
          <w:rFonts w:hint="eastAsia"/>
          <w:color w:val="auto"/>
          <w:highlight w:val="none"/>
        </w:rPr>
        <w:t>亩。</w:t>
      </w:r>
    </w:p>
    <w:p>
      <w:pPr>
        <w:ind w:firstLine="480"/>
        <w:rPr>
          <w:rFonts w:hint="eastAsia"/>
          <w:color w:val="auto"/>
          <w:highlight w:val="none"/>
        </w:rPr>
      </w:pPr>
      <w:r>
        <w:rPr>
          <w:rFonts w:hint="eastAsia"/>
          <w:color w:val="auto"/>
          <w:highlight w:val="none"/>
        </w:rPr>
        <w:t>本工程临时占地范围：一是泄水建筑物永久占地边线向外偏移5m为临时施工走廊，二是本设计考虑的临时进场道路，三是临时工棚和仓库，经统计，共需临时占地</w:t>
      </w:r>
      <w:r>
        <w:rPr>
          <w:rFonts w:hint="eastAsia"/>
          <w:color w:val="auto"/>
          <w:highlight w:val="none"/>
          <w:lang w:val="en-US" w:eastAsia="zh-CN"/>
        </w:rPr>
        <w:t>5.64</w:t>
      </w:r>
      <w:r>
        <w:rPr>
          <w:rFonts w:hint="eastAsia"/>
          <w:color w:val="auto"/>
          <w:highlight w:val="none"/>
        </w:rPr>
        <w:t>亩。</w:t>
      </w:r>
    </w:p>
    <w:p>
      <w:pPr>
        <w:ind w:firstLine="480"/>
        <w:rPr>
          <w:rFonts w:hint="eastAsia"/>
          <w:color w:val="auto"/>
          <w:highlight w:val="none"/>
        </w:rPr>
      </w:pPr>
      <w:r>
        <w:rPr>
          <w:rFonts w:hint="eastAsia"/>
          <w:color w:val="auto"/>
          <w:highlight w:val="none"/>
        </w:rPr>
        <w:t>（2）房屋附着物</w:t>
      </w:r>
    </w:p>
    <w:p>
      <w:pPr>
        <w:ind w:firstLine="480"/>
        <w:rPr>
          <w:rFonts w:hint="eastAsia"/>
          <w:color w:val="auto"/>
          <w:highlight w:val="none"/>
        </w:rPr>
      </w:pPr>
      <w:r>
        <w:rPr>
          <w:rFonts w:hint="eastAsia"/>
          <w:color w:val="auto"/>
          <w:highlight w:val="none"/>
        </w:rPr>
        <w:t>本工程不涉及拆迁房屋及附着物。</w:t>
      </w:r>
    </w:p>
    <w:p>
      <w:pPr>
        <w:ind w:firstLine="480"/>
        <w:rPr>
          <w:rFonts w:hint="eastAsia"/>
          <w:color w:val="auto"/>
          <w:highlight w:val="none"/>
        </w:rPr>
      </w:pPr>
      <w:r>
        <w:rPr>
          <w:rFonts w:hint="eastAsia"/>
          <w:color w:val="auto"/>
          <w:highlight w:val="none"/>
        </w:rPr>
        <w:t>（3）青苗补偿</w:t>
      </w:r>
    </w:p>
    <w:p>
      <w:pPr>
        <w:ind w:firstLine="480"/>
        <w:rPr>
          <w:rFonts w:hint="eastAsia"/>
          <w:color w:val="auto"/>
          <w:highlight w:val="none"/>
        </w:rPr>
      </w:pPr>
      <w:r>
        <w:rPr>
          <w:rFonts w:hint="eastAsia"/>
          <w:color w:val="auto"/>
          <w:highlight w:val="none"/>
        </w:rPr>
        <w:t>因本工程建设征地而造成青苗补偿</w:t>
      </w:r>
      <w:r>
        <w:rPr>
          <w:rFonts w:hint="eastAsia"/>
          <w:color w:val="auto"/>
          <w:highlight w:val="none"/>
          <w:lang w:val="en-US" w:eastAsia="zh-CN"/>
        </w:rPr>
        <w:t>7.93</w:t>
      </w:r>
      <w:r>
        <w:rPr>
          <w:rFonts w:hint="eastAsia"/>
          <w:color w:val="auto"/>
          <w:highlight w:val="none"/>
        </w:rPr>
        <w:t>亩。</w:t>
      </w:r>
    </w:p>
    <w:p>
      <w:pPr>
        <w:ind w:firstLine="480"/>
        <w:rPr>
          <w:rFonts w:hint="eastAsia"/>
          <w:color w:val="auto"/>
          <w:highlight w:val="none"/>
        </w:rPr>
      </w:pPr>
      <w:r>
        <w:rPr>
          <w:rFonts w:hint="eastAsia"/>
          <w:color w:val="auto"/>
          <w:highlight w:val="none"/>
        </w:rPr>
        <w:t>（4）人口及房屋</w:t>
      </w:r>
    </w:p>
    <w:p>
      <w:pPr>
        <w:ind w:firstLine="480"/>
        <w:rPr>
          <w:rFonts w:hint="eastAsia"/>
          <w:color w:val="auto"/>
          <w:highlight w:val="none"/>
        </w:rPr>
      </w:pPr>
      <w:r>
        <w:rPr>
          <w:rFonts w:hint="eastAsia"/>
          <w:color w:val="auto"/>
          <w:highlight w:val="none"/>
        </w:rPr>
        <w:t>工程建设未涉及拆迁房屋和人口搬迁。</w:t>
      </w:r>
    </w:p>
    <w:p>
      <w:pPr>
        <w:pStyle w:val="335"/>
        <w:spacing w:before="120" w:after="120"/>
        <w:rPr>
          <w:rFonts w:hint="eastAsia"/>
          <w:color w:val="auto"/>
          <w:highlight w:val="none"/>
          <w:lang w:val="en-US" w:eastAsia="zh-CN"/>
        </w:rPr>
      </w:pPr>
      <w:r>
        <w:rPr>
          <w:rFonts w:hint="eastAsia"/>
          <w:color w:val="auto"/>
          <w:highlight w:val="none"/>
          <w:lang w:val="en-US" w:eastAsia="zh-CN"/>
        </w:rPr>
        <w:t>1.8.2 占地补偿投资总估算</w:t>
      </w:r>
    </w:p>
    <w:p>
      <w:pPr>
        <w:ind w:firstLine="480"/>
        <w:rPr>
          <w:rFonts w:hint="eastAsia"/>
          <w:color w:val="auto"/>
          <w:highlight w:val="none"/>
          <w:lang w:val="en-US" w:eastAsia="zh-CN"/>
        </w:rPr>
      </w:pPr>
      <w:r>
        <w:rPr>
          <w:rFonts w:hint="eastAsia"/>
          <w:color w:val="auto"/>
          <w:highlight w:val="none"/>
          <w:lang w:eastAsia="zh-CN"/>
        </w:rPr>
        <w:t>本工程占地补偿投资总估算说见下表</w:t>
      </w:r>
      <w:r>
        <w:rPr>
          <w:rFonts w:hint="eastAsia"/>
          <w:color w:val="auto"/>
          <w:highlight w:val="none"/>
          <w:lang w:val="en-US" w:eastAsia="zh-CN"/>
        </w:rPr>
        <w:t>。</w:t>
      </w:r>
    </w:p>
    <w:p>
      <w:pPr>
        <w:ind w:left="0" w:leftChars="0" w:firstLine="0" w:firstLineChars="0"/>
        <w:jc w:val="center"/>
        <w:rPr>
          <w:rFonts w:hint="eastAsia"/>
          <w:color w:val="auto"/>
          <w:highlight w:val="none"/>
          <w:lang w:val="en-US" w:eastAsia="zh-CN"/>
        </w:rPr>
      </w:pPr>
      <w:r>
        <w:rPr>
          <w:rFonts w:hint="eastAsia"/>
          <w:color w:val="auto"/>
          <w:highlight w:val="none"/>
          <w:lang w:val="en-US" w:eastAsia="zh-CN"/>
        </w:rPr>
        <w:t>表1-7 工程占用地补偿投资总估算表</w:t>
      </w:r>
    </w:p>
    <w:tbl>
      <w:tblPr>
        <w:tblStyle w:val="47"/>
        <w:tblW w:w="8988" w:type="dxa"/>
        <w:tblInd w:w="0" w:type="dxa"/>
        <w:tblLayout w:type="fixed"/>
        <w:tblCellMar>
          <w:top w:w="0" w:type="dxa"/>
          <w:left w:w="0" w:type="dxa"/>
          <w:bottom w:w="0" w:type="dxa"/>
          <w:right w:w="0" w:type="dxa"/>
        </w:tblCellMar>
      </w:tblPr>
      <w:tblGrid>
        <w:gridCol w:w="1067"/>
        <w:gridCol w:w="2565"/>
        <w:gridCol w:w="1325"/>
        <w:gridCol w:w="1326"/>
        <w:gridCol w:w="1824"/>
        <w:gridCol w:w="881"/>
      </w:tblGrid>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bookmarkStart w:id="76" w:name="OLE_LINK19"/>
            <w:r>
              <w:rPr>
                <w:rFonts w:hint="eastAsia" w:ascii="宋体" w:hAnsi="宋体"/>
                <w:color w:val="auto"/>
                <w:sz w:val="24"/>
                <w:szCs w:val="24"/>
                <w:highlight w:val="none"/>
                <w:lang w:val="en-US" w:eastAsia="zh-CN"/>
              </w:rPr>
              <w:t>项目编码</w:t>
            </w: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工程项目或费用各称</w:t>
            </w:r>
          </w:p>
        </w:tc>
        <w:tc>
          <w:tcPr>
            <w:tcW w:w="13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数量（亩）</w:t>
            </w:r>
          </w:p>
        </w:tc>
        <w:tc>
          <w:tcPr>
            <w:tcW w:w="132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单价（元）</w:t>
            </w: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合计(元)</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备注</w:t>
            </w:r>
          </w:p>
        </w:tc>
      </w:tr>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1</w:t>
            </w: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土地综合补偿费</w:t>
            </w:r>
          </w:p>
        </w:tc>
        <w:tc>
          <w:tcPr>
            <w:tcW w:w="13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2.29 </w:t>
            </w:r>
          </w:p>
        </w:tc>
        <w:tc>
          <w:tcPr>
            <w:tcW w:w="132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91000 </w:t>
            </w: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208390.00 </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p>
        </w:tc>
      </w:tr>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2</w:t>
            </w: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临时租用地</w:t>
            </w:r>
          </w:p>
        </w:tc>
        <w:tc>
          <w:tcPr>
            <w:tcW w:w="13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default" w:ascii="宋体" w:hAnsi="宋体"/>
                <w:color w:val="auto"/>
                <w:sz w:val="24"/>
                <w:szCs w:val="24"/>
                <w:highlight w:val="none"/>
                <w:lang w:val="en-US" w:eastAsia="zh-CN"/>
              </w:rPr>
            </w:pPr>
            <w:r>
              <w:rPr>
                <w:rFonts w:hint="eastAsia" w:ascii="宋体" w:hAnsi="宋体"/>
                <w:color w:val="auto"/>
                <w:sz w:val="24"/>
                <w:szCs w:val="24"/>
                <w:highlight w:val="none"/>
                <w:lang w:val="en-US" w:eastAsia="zh-CN"/>
              </w:rPr>
              <w:t>5.64</w:t>
            </w:r>
          </w:p>
        </w:tc>
        <w:tc>
          <w:tcPr>
            <w:tcW w:w="132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2400</w:t>
            </w: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13536.00 </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default" w:ascii="宋体" w:hAnsi="宋体"/>
                <w:color w:val="auto"/>
                <w:sz w:val="24"/>
                <w:szCs w:val="24"/>
                <w:highlight w:val="none"/>
                <w:lang w:val="en-US" w:eastAsia="zh-CN"/>
              </w:rPr>
            </w:pPr>
          </w:p>
        </w:tc>
      </w:tr>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3</w:t>
            </w: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青苗补偿费</w:t>
            </w:r>
          </w:p>
        </w:tc>
        <w:tc>
          <w:tcPr>
            <w:tcW w:w="13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7.93 </w:t>
            </w:r>
          </w:p>
        </w:tc>
        <w:tc>
          <w:tcPr>
            <w:tcW w:w="132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15000</w:t>
            </w: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118950.00 </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p>
        </w:tc>
      </w:tr>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4</w:t>
            </w: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征地工作费</w:t>
            </w:r>
          </w:p>
        </w:tc>
        <w:tc>
          <w:tcPr>
            <w:tcW w:w="13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7.93 </w:t>
            </w:r>
          </w:p>
        </w:tc>
        <w:tc>
          <w:tcPr>
            <w:tcW w:w="132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3000 </w:t>
            </w: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23790.00 </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p>
        </w:tc>
      </w:tr>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5</w:t>
            </w: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清障费</w:t>
            </w:r>
          </w:p>
        </w:tc>
        <w:tc>
          <w:tcPr>
            <w:tcW w:w="13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default" w:ascii="宋体" w:hAnsi="宋体"/>
                <w:color w:val="auto"/>
                <w:sz w:val="24"/>
                <w:szCs w:val="24"/>
                <w:highlight w:val="none"/>
                <w:lang w:val="en-US" w:eastAsia="zh-CN"/>
              </w:rPr>
            </w:pPr>
            <w:r>
              <w:rPr>
                <w:rFonts w:hint="eastAsia" w:ascii="宋体" w:hAnsi="宋体"/>
                <w:color w:val="auto"/>
                <w:sz w:val="24"/>
                <w:szCs w:val="24"/>
                <w:highlight w:val="none"/>
                <w:lang w:val="en-US" w:eastAsia="zh-CN"/>
              </w:rPr>
              <w:t>7.93</w:t>
            </w:r>
          </w:p>
        </w:tc>
        <w:tc>
          <w:tcPr>
            <w:tcW w:w="132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1500</w:t>
            </w: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11895.00 </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p>
        </w:tc>
      </w:tr>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6</w:t>
            </w: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测量定线费</w:t>
            </w:r>
          </w:p>
        </w:tc>
        <w:tc>
          <w:tcPr>
            <w:tcW w:w="2651"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30000</w:t>
            </w: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30000.00 </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p>
        </w:tc>
      </w:tr>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7</w:t>
            </w: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基本预备费</w:t>
            </w:r>
          </w:p>
        </w:tc>
        <w:tc>
          <w:tcPr>
            <w:tcW w:w="2651"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（1+2+3+4+5+6）*0.05</w:t>
            </w: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20328.05 </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p>
        </w:tc>
      </w:tr>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default" w:ascii="宋体" w:hAnsi="宋体"/>
                <w:color w:val="auto"/>
                <w:sz w:val="24"/>
                <w:szCs w:val="24"/>
                <w:highlight w:val="none"/>
                <w:lang w:val="en-US" w:eastAsia="zh-CN"/>
              </w:rPr>
            </w:pP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总计</w:t>
            </w:r>
          </w:p>
        </w:tc>
        <w:tc>
          <w:tcPr>
            <w:tcW w:w="2651"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426889.05 </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p>
        </w:tc>
      </w:tr>
      <w:bookmarkEnd w:id="76"/>
    </w:tbl>
    <w:p>
      <w:pPr>
        <w:pStyle w:val="3"/>
        <w:rPr>
          <w:color w:val="auto"/>
          <w:highlight w:val="none"/>
        </w:rPr>
      </w:pPr>
      <w:bookmarkStart w:id="77" w:name="_Toc322358321"/>
      <w:bookmarkStart w:id="78" w:name="_Toc322093241"/>
      <w:bookmarkStart w:id="79" w:name="_Toc328618610"/>
      <w:bookmarkStart w:id="80" w:name="_Toc323046835"/>
      <w:bookmarkStart w:id="81" w:name="_Toc404766538"/>
      <w:bookmarkStart w:id="82" w:name="_Toc536295040"/>
      <w:bookmarkStart w:id="83" w:name="_Toc22065"/>
      <w:r>
        <w:rPr>
          <w:rFonts w:hint="eastAsia"/>
          <w:color w:val="auto"/>
          <w:highlight w:val="none"/>
        </w:rPr>
        <w:t>1.</w:t>
      </w:r>
      <w:bookmarkEnd w:id="77"/>
      <w:bookmarkEnd w:id="78"/>
      <w:bookmarkEnd w:id="79"/>
      <w:bookmarkEnd w:id="80"/>
      <w:r>
        <w:rPr>
          <w:rFonts w:hint="eastAsia"/>
          <w:color w:val="auto"/>
          <w:highlight w:val="none"/>
          <w:lang w:val="en-US" w:eastAsia="zh-CN"/>
        </w:rPr>
        <w:t>9</w:t>
      </w:r>
      <w:r>
        <w:rPr>
          <w:rFonts w:hint="eastAsia"/>
          <w:color w:val="auto"/>
          <w:highlight w:val="none"/>
        </w:rPr>
        <w:t xml:space="preserve"> 环境</w:t>
      </w:r>
      <w:bookmarkEnd w:id="81"/>
      <w:bookmarkEnd w:id="82"/>
      <w:r>
        <w:rPr>
          <w:rFonts w:hint="eastAsia"/>
          <w:color w:val="auto"/>
          <w:highlight w:val="none"/>
        </w:rPr>
        <w:t>保护设计</w:t>
      </w:r>
      <w:bookmarkEnd w:id="83"/>
    </w:p>
    <w:p>
      <w:pPr>
        <w:ind w:firstLine="480"/>
        <w:rPr>
          <w:rFonts w:hint="eastAsia"/>
          <w:color w:val="auto"/>
          <w:highlight w:val="none"/>
          <w:lang w:eastAsia="zh-CN"/>
        </w:rPr>
      </w:pPr>
      <w:r>
        <w:rPr>
          <w:rFonts w:hint="eastAsia"/>
          <w:color w:val="auto"/>
          <w:highlight w:val="none"/>
          <w:lang w:eastAsia="zh-CN"/>
        </w:rPr>
        <w:t>本工程完工后，将保证沿线各乡镇的排洪安全及农业灌溉用水，使农业土地资源得到更充分的利用，对于促进当地的经济稳定发展起到保障作用，产生显著的经济效益和社会效益。工程施工期将对局部地区的生态系统以及项目区周边的大气和声环境质量产生一定的不利影响，但这些影响是局部而短暂的，采取一定措施可以减缓或消除。因此，从环境的角度评价，没有制约工程建设的因素。</w:t>
      </w:r>
    </w:p>
    <w:p>
      <w:pPr>
        <w:pStyle w:val="3"/>
        <w:rPr>
          <w:color w:val="auto"/>
          <w:highlight w:val="none"/>
        </w:rPr>
      </w:pPr>
      <w:bookmarkStart w:id="84" w:name="_Toc328618622"/>
      <w:bookmarkStart w:id="85" w:name="_Toc323046838"/>
      <w:bookmarkStart w:id="86" w:name="_Toc322358324"/>
      <w:bookmarkStart w:id="87" w:name="_Toc322093244"/>
      <w:bookmarkStart w:id="88" w:name="_Toc404766539"/>
      <w:bookmarkStart w:id="89" w:name="_Toc536295041"/>
      <w:bookmarkStart w:id="90" w:name="_Toc20716"/>
      <w:r>
        <w:rPr>
          <w:rFonts w:hint="eastAsia"/>
          <w:color w:val="auto"/>
          <w:highlight w:val="none"/>
        </w:rPr>
        <w:t>1.</w:t>
      </w:r>
      <w:bookmarkEnd w:id="84"/>
      <w:bookmarkEnd w:id="85"/>
      <w:bookmarkEnd w:id="86"/>
      <w:bookmarkEnd w:id="87"/>
      <w:r>
        <w:rPr>
          <w:rFonts w:hint="eastAsia"/>
          <w:color w:val="auto"/>
          <w:highlight w:val="none"/>
        </w:rPr>
        <w:t>1</w:t>
      </w:r>
      <w:r>
        <w:rPr>
          <w:rFonts w:hint="eastAsia"/>
          <w:color w:val="auto"/>
          <w:highlight w:val="none"/>
          <w:lang w:val="en-US" w:eastAsia="zh-CN"/>
        </w:rPr>
        <w:t>0</w:t>
      </w:r>
      <w:r>
        <w:rPr>
          <w:rFonts w:hint="eastAsia"/>
          <w:color w:val="auto"/>
          <w:highlight w:val="none"/>
        </w:rPr>
        <w:t xml:space="preserve"> 水土保持</w:t>
      </w:r>
      <w:bookmarkEnd w:id="88"/>
      <w:bookmarkEnd w:id="89"/>
      <w:r>
        <w:rPr>
          <w:rFonts w:hint="eastAsia"/>
          <w:color w:val="auto"/>
          <w:highlight w:val="none"/>
        </w:rPr>
        <w:t>设计</w:t>
      </w:r>
      <w:bookmarkEnd w:id="90"/>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bookmarkStart w:id="91" w:name="_Toc536295042"/>
      <w:bookmarkStart w:id="92" w:name="_Toc322093249"/>
      <w:bookmarkStart w:id="93" w:name="_Toc404766540"/>
      <w:bookmarkStart w:id="94" w:name="_Toc322358329"/>
      <w:bookmarkStart w:id="95" w:name="_Toc323046843"/>
      <w:bookmarkStart w:id="96" w:name="_Toc328618638"/>
      <w:r>
        <w:rPr>
          <w:rFonts w:hint="eastAsia"/>
          <w:color w:val="auto"/>
          <w:highlight w:val="none"/>
          <w:lang w:eastAsia="zh-CN"/>
        </w:rPr>
        <w:t>本工程施工期间，主要造成植被破坏有：土方开挖、弃土场及灌溉渠道建设等。</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施工过程中取弃土石要综合考虑，填挖土石应相互利用，以减少施工中的弃土石渣量。弃土石渣应结合填坑、筑路合理规划，弃土石渣应在指定地点堆放，分层夯实，及时种上树草，避免松散的弃土石渣产生新的水土流失，对采取堆高方式的弃渣场，应修建拦渣坝，以防止水土流失的发生。需要特别注意施工土石的流失，以免造成河道淤塞。施工完成后，应对破坏的植被进行植草植木处理。水土流失治理应采取工程措施和生物防治措施相结合，全面规划、综合治理。本工程水土流失治理的主要措施如下：</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（1）工程措施</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工程措施主要是对开挖取料后的弃料进行防护，避免其流失。采取的防护措施是采用草皮护坡。</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（2）生物防治措施</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生物防治措施主要是对施工临时道路，削坡坡面进行防护，恢复植被，避免水土流失。</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对施工后遭到破坏的山坡、废弃的施工临时道路等，对表层进行植被保护。</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（3）水土保持实施</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水土保持工程的实施，应与工程施工同步进行，特别是工程措施，必须在施工同时进行，避免施工过程中的水土流失。生物防渗措施则应在工程完成后立即进行，以营造一个良好的生态环境。</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水土保持治理必须落到实处，工程实施的项目法人必须有人专管，从领导上、技术上保证方案的顺利实施，按时按质完成任务。</w:t>
      </w:r>
    </w:p>
    <w:p>
      <w:pPr>
        <w:pStyle w:val="3"/>
        <w:rPr>
          <w:color w:val="auto"/>
          <w:highlight w:val="none"/>
        </w:rPr>
      </w:pPr>
      <w:bookmarkStart w:id="97" w:name="_Toc9944"/>
      <w:r>
        <w:rPr>
          <w:rFonts w:hint="eastAsia"/>
          <w:color w:val="auto"/>
          <w:highlight w:val="none"/>
        </w:rPr>
        <w:t>1.1</w:t>
      </w:r>
      <w:r>
        <w:rPr>
          <w:rFonts w:hint="eastAsia"/>
          <w:color w:val="auto"/>
          <w:highlight w:val="none"/>
          <w:lang w:val="en-US" w:eastAsia="zh-CN"/>
        </w:rPr>
        <w:t>1</w:t>
      </w:r>
      <w:r>
        <w:rPr>
          <w:rFonts w:hint="eastAsia"/>
          <w:color w:val="auto"/>
          <w:highlight w:val="none"/>
        </w:rPr>
        <w:t xml:space="preserve"> 劳动安全及工业卫生</w:t>
      </w:r>
      <w:bookmarkEnd w:id="97"/>
    </w:p>
    <w:p>
      <w:pPr>
        <w:ind w:firstLine="480"/>
        <w:rPr>
          <w:color w:val="auto"/>
          <w:highlight w:val="none"/>
        </w:rPr>
      </w:pPr>
      <w:r>
        <w:rPr>
          <w:rFonts w:hint="eastAsia"/>
          <w:color w:val="auto"/>
          <w:highlight w:val="none"/>
        </w:rPr>
        <w:t>（1）施工期间</w:t>
      </w:r>
    </w:p>
    <w:p>
      <w:pPr>
        <w:ind w:firstLine="480"/>
        <w:rPr>
          <w:color w:val="auto"/>
          <w:highlight w:val="none"/>
        </w:rPr>
      </w:pPr>
      <w:r>
        <w:rPr>
          <w:rFonts w:hint="eastAsia"/>
          <w:color w:val="auto"/>
          <w:highlight w:val="none"/>
        </w:rPr>
        <w:t>本工程施工渠线长、建筑物位置分散，但施工操作及工序均为常见的内容，如：土方开挖及回填、模板架立、钢筋绑扎和焊接、混凝土浇筑、浆砌块石砌筑等。施工过程中，提高参建人员劳动安全和工业卫生的意识，落实好安全措施，并加强施工日常安全宣传和检查，工程的施工安全系数能达到较高水平。</w:t>
      </w:r>
    </w:p>
    <w:p>
      <w:pPr>
        <w:ind w:firstLine="480"/>
        <w:rPr>
          <w:color w:val="auto"/>
          <w:highlight w:val="none"/>
        </w:rPr>
      </w:pPr>
      <w:r>
        <w:rPr>
          <w:rFonts w:hint="eastAsia"/>
          <w:color w:val="auto"/>
          <w:highlight w:val="none"/>
        </w:rPr>
        <w:t>（2）工程完成后日常管理</w:t>
      </w:r>
    </w:p>
    <w:p>
      <w:pPr>
        <w:ind w:firstLine="480"/>
        <w:rPr>
          <w:color w:val="auto"/>
          <w:highlight w:val="none"/>
        </w:rPr>
      </w:pPr>
      <w:r>
        <w:rPr>
          <w:rFonts w:hint="eastAsia"/>
          <w:color w:val="auto"/>
          <w:highlight w:val="none"/>
        </w:rPr>
        <w:t>工程完成后加强管养房、信息中心的防火工作；日常渠道巡查注意安全，并做好安全措施，预期</w:t>
      </w:r>
      <w:r>
        <w:rPr>
          <w:color w:val="auto"/>
          <w:highlight w:val="none"/>
        </w:rPr>
        <w:t>工程的安全运行系数</w:t>
      </w:r>
      <w:r>
        <w:rPr>
          <w:rFonts w:hint="eastAsia"/>
          <w:color w:val="auto"/>
          <w:highlight w:val="none"/>
        </w:rPr>
        <w:t>能达到</w:t>
      </w:r>
      <w:r>
        <w:rPr>
          <w:color w:val="auto"/>
          <w:highlight w:val="none"/>
        </w:rPr>
        <w:t>较高</w:t>
      </w:r>
      <w:r>
        <w:rPr>
          <w:rFonts w:hint="eastAsia"/>
          <w:color w:val="auto"/>
          <w:highlight w:val="none"/>
        </w:rPr>
        <w:t>水平</w:t>
      </w:r>
      <w:r>
        <w:rPr>
          <w:color w:val="auto"/>
          <w:highlight w:val="none"/>
        </w:rPr>
        <w:t>。</w:t>
      </w:r>
    </w:p>
    <w:p>
      <w:pPr>
        <w:pStyle w:val="3"/>
        <w:rPr>
          <w:color w:val="auto"/>
          <w:highlight w:val="none"/>
        </w:rPr>
      </w:pPr>
      <w:bookmarkStart w:id="98" w:name="_Toc10414"/>
      <w:r>
        <w:rPr>
          <w:rFonts w:hint="eastAsia"/>
          <w:color w:val="auto"/>
          <w:highlight w:val="none"/>
        </w:rPr>
        <w:t>1.1</w:t>
      </w:r>
      <w:r>
        <w:rPr>
          <w:rFonts w:hint="eastAsia"/>
          <w:color w:val="auto"/>
          <w:highlight w:val="none"/>
          <w:lang w:val="en-US" w:eastAsia="zh-CN"/>
        </w:rPr>
        <w:t>2</w:t>
      </w:r>
      <w:r>
        <w:rPr>
          <w:rFonts w:hint="eastAsia"/>
          <w:color w:val="auto"/>
          <w:highlight w:val="none"/>
        </w:rPr>
        <w:t xml:space="preserve"> 节能设计</w:t>
      </w:r>
      <w:bookmarkEnd w:id="91"/>
      <w:bookmarkEnd w:id="92"/>
      <w:bookmarkEnd w:id="93"/>
      <w:bookmarkEnd w:id="94"/>
      <w:bookmarkEnd w:id="95"/>
      <w:bookmarkEnd w:id="96"/>
      <w:bookmarkEnd w:id="98"/>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bookmarkStart w:id="99" w:name="OLE_LINK14"/>
      <w:r>
        <w:rPr>
          <w:rFonts w:hint="eastAsia"/>
          <w:color w:val="auto"/>
          <w:highlight w:val="none"/>
          <w:lang w:eastAsia="zh-CN"/>
        </w:rPr>
        <w:t>本工程为灌溉渠道整治工程，工程实施后，可完善排涝体系，增大防洪能力，恢复灌溉能力，保护两岸边坡及耕地稳定，有利于促进当地社会经济及其它各项事业的可持续发展。工程建设符合国家、地方和行业节能设计标准，工程总体布置、施工组织及设备选择充分进行方案比选并考虑节能原则，工程采取节能措施合理可行。</w:t>
      </w:r>
    </w:p>
    <w:p>
      <w:pPr>
        <w:ind w:firstLine="480"/>
        <w:rPr>
          <w:color w:val="auto"/>
          <w:highlight w:val="none"/>
        </w:rPr>
      </w:pPr>
      <w:r>
        <w:rPr>
          <w:rFonts w:hint="eastAsia"/>
          <w:color w:val="auto"/>
          <w:highlight w:val="none"/>
        </w:rPr>
        <w:t>本工程在施工组织设计时，选择经济高效的施工技术方案和合理的施工工期，将节能降耗落实到施工材料、设备、工艺等技术措施上，降低工程造价，提高企业综合效益。</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rPr>
      </w:pPr>
      <w:r>
        <w:rPr>
          <w:rFonts w:hint="eastAsia"/>
          <w:color w:val="auto"/>
          <w:highlight w:val="none"/>
        </w:rPr>
        <w:t>工程建设符合国家、地方和行业的节能设计标准，工程总体布置、施工组织及机电金属设备选择充分考虑节能原则，工程采取的节能措施合理可行，能降低施工能耗和运行能耗，环境效益和社会效益十分显著。</w:t>
      </w:r>
    </w:p>
    <w:bookmarkEnd w:id="99"/>
    <w:p>
      <w:pPr>
        <w:pStyle w:val="3"/>
        <w:rPr>
          <w:color w:val="auto"/>
          <w:highlight w:val="none"/>
        </w:rPr>
      </w:pPr>
      <w:bookmarkStart w:id="100" w:name="_Toc22156"/>
      <w:r>
        <w:rPr>
          <w:rFonts w:hint="eastAsia"/>
          <w:color w:val="auto"/>
          <w:highlight w:val="none"/>
        </w:rPr>
        <w:t>1.1</w:t>
      </w:r>
      <w:r>
        <w:rPr>
          <w:rFonts w:hint="eastAsia"/>
          <w:color w:val="auto"/>
          <w:highlight w:val="none"/>
          <w:lang w:val="en-US" w:eastAsia="zh-CN"/>
        </w:rPr>
        <w:t>3</w:t>
      </w:r>
      <w:r>
        <w:rPr>
          <w:rFonts w:hint="eastAsia"/>
          <w:color w:val="auto"/>
          <w:highlight w:val="none"/>
        </w:rPr>
        <w:t xml:space="preserve"> 工程管理设计</w:t>
      </w:r>
      <w:bookmarkEnd w:id="100"/>
    </w:p>
    <w:p>
      <w:pPr>
        <w:ind w:firstLine="480"/>
        <w:rPr>
          <w:color w:val="auto"/>
          <w:highlight w:val="none"/>
        </w:rPr>
      </w:pPr>
      <w:r>
        <w:rPr>
          <w:rFonts w:hint="eastAsia"/>
          <w:color w:val="auto"/>
          <w:highlight w:val="none"/>
        </w:rPr>
        <w:t>从化区温泉镇南大水库灌区</w:t>
      </w:r>
      <w:r>
        <w:rPr>
          <w:rFonts w:hint="eastAsia"/>
          <w:color w:val="auto"/>
          <w:highlight w:val="none"/>
          <w:lang w:eastAsia="zh-CN"/>
        </w:rPr>
        <w:t>属从化区温泉镇人民政府管理，</w:t>
      </w:r>
      <w:r>
        <w:rPr>
          <w:rFonts w:hint="eastAsia"/>
          <w:color w:val="auto"/>
          <w:highlight w:val="none"/>
        </w:rPr>
        <w:t>本次设计维持现状管理单位不变，且保留现有管理人员，不新增人员编制。</w:t>
      </w:r>
    </w:p>
    <w:p>
      <w:pPr>
        <w:ind w:firstLine="480"/>
        <w:rPr>
          <w:color w:val="auto"/>
          <w:highlight w:val="none"/>
        </w:rPr>
      </w:pPr>
      <w:r>
        <w:rPr>
          <w:rFonts w:hint="eastAsia"/>
          <w:color w:val="auto"/>
          <w:highlight w:val="none"/>
        </w:rPr>
        <w:t>本次设计维持现状管理单位不变，且保留现有管理人员，不新增人员编制。根据调查了解，</w:t>
      </w:r>
      <w:r>
        <w:rPr>
          <w:rFonts w:hint="eastAsia"/>
          <w:color w:val="auto"/>
          <w:highlight w:val="none"/>
          <w:lang w:eastAsia="zh-CN"/>
        </w:rPr>
        <w:t>温泉镇人民政府</w:t>
      </w:r>
      <w:r>
        <w:rPr>
          <w:rFonts w:hint="eastAsia"/>
          <w:color w:val="auto"/>
          <w:highlight w:val="none"/>
        </w:rPr>
        <w:t>所现有</w:t>
      </w:r>
      <w:r>
        <w:rPr>
          <w:rFonts w:hint="eastAsia"/>
          <w:color w:val="auto"/>
          <w:kern w:val="0"/>
          <w:highlight w:val="none"/>
          <w:lang w:bidi="en-US"/>
        </w:rPr>
        <w:t>生产、生活用房</w:t>
      </w:r>
      <w:r>
        <w:rPr>
          <w:rFonts w:hint="eastAsia"/>
          <w:color w:val="auto"/>
          <w:highlight w:val="none"/>
        </w:rPr>
        <w:t>现状完好，能满足要求，因此，不再新建管理用房。</w:t>
      </w:r>
    </w:p>
    <w:p>
      <w:pPr>
        <w:pStyle w:val="3"/>
        <w:rPr>
          <w:color w:val="auto"/>
          <w:highlight w:val="none"/>
        </w:rPr>
      </w:pPr>
      <w:bookmarkStart w:id="101" w:name="_Toc322093255"/>
      <w:bookmarkStart w:id="102" w:name="_Toc323046849"/>
      <w:bookmarkStart w:id="103" w:name="_Toc404766541"/>
      <w:bookmarkStart w:id="104" w:name="_Toc536295043"/>
      <w:bookmarkStart w:id="105" w:name="_Toc328618644"/>
      <w:bookmarkStart w:id="106" w:name="_Toc322358335"/>
      <w:bookmarkStart w:id="107" w:name="_Toc14395"/>
      <w:r>
        <w:rPr>
          <w:rFonts w:hint="eastAsia"/>
          <w:color w:val="auto"/>
          <w:highlight w:val="none"/>
        </w:rPr>
        <w:t>1.1</w:t>
      </w:r>
      <w:r>
        <w:rPr>
          <w:rFonts w:hint="eastAsia"/>
          <w:color w:val="auto"/>
          <w:highlight w:val="none"/>
          <w:lang w:val="en-US" w:eastAsia="zh-CN"/>
        </w:rPr>
        <w:t>4</w:t>
      </w:r>
      <w:r>
        <w:rPr>
          <w:rFonts w:hint="eastAsia"/>
          <w:color w:val="auto"/>
          <w:highlight w:val="none"/>
        </w:rPr>
        <w:t xml:space="preserve"> </w:t>
      </w:r>
      <w:bookmarkEnd w:id="101"/>
      <w:bookmarkEnd w:id="102"/>
      <w:bookmarkEnd w:id="103"/>
      <w:bookmarkEnd w:id="104"/>
      <w:bookmarkEnd w:id="105"/>
      <w:bookmarkEnd w:id="106"/>
      <w:r>
        <w:rPr>
          <w:rFonts w:hint="eastAsia"/>
          <w:color w:val="auto"/>
          <w:highlight w:val="none"/>
        </w:rPr>
        <w:t>设计概算</w:t>
      </w:r>
      <w:bookmarkEnd w:id="107"/>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val="en-US" w:eastAsia="zh-CN"/>
        </w:rPr>
      </w:pPr>
      <w:bookmarkStart w:id="108" w:name="_Toc328618649"/>
      <w:bookmarkStart w:id="109" w:name="_Toc404766542"/>
      <w:r>
        <w:rPr>
          <w:rFonts w:hint="eastAsia"/>
          <w:color w:val="auto"/>
          <w:highlight w:val="none"/>
          <w:lang w:val="en-US" w:eastAsia="zh-CN"/>
        </w:rPr>
        <w:t>1、编制依据</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bookmarkStart w:id="110" w:name="_Toc191718173"/>
      <w:bookmarkStart w:id="111" w:name="_Toc196015741"/>
      <w:bookmarkStart w:id="112" w:name="_Toc196015660"/>
      <w:bookmarkStart w:id="113" w:name="_Toc193161213"/>
      <w:bookmarkStart w:id="114" w:name="_Toc193722899"/>
      <w:bookmarkStart w:id="115" w:name="_Toc193117396"/>
      <w:bookmarkStart w:id="116" w:name="_Toc196015498"/>
      <w:r>
        <w:rPr>
          <w:rFonts w:hint="eastAsia"/>
          <w:color w:val="auto"/>
          <w:highlight w:val="none"/>
          <w:lang w:eastAsia="zh-CN"/>
        </w:rPr>
        <w:t>（1）国家及省颁布的有关法令法规、制度、标准。</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（2）执行《广东省水利厅关于发布我省水利水电建筑工程设计概（估）算编制规定与系列定额的通知》（粤水建管[2017]37号），《编规》、《系列定额》于2017年7月1日起实施。</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（3）水利水电工程设计工程量计算规定（SL328-2005）。</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（4）初设报告及附图。</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（5）与概（估）算文件编制有关的其他文件和材料。</w:t>
      </w:r>
    </w:p>
    <w:bookmarkEnd w:id="110"/>
    <w:bookmarkEnd w:id="111"/>
    <w:bookmarkEnd w:id="112"/>
    <w:bookmarkEnd w:id="113"/>
    <w:bookmarkEnd w:id="114"/>
    <w:bookmarkEnd w:id="115"/>
    <w:bookmarkEnd w:id="116"/>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2、工程投资概算</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bookmarkStart w:id="117" w:name="OLE_LINK20"/>
      <w:r>
        <w:rPr>
          <w:rFonts w:hint="eastAsia"/>
          <w:color w:val="auto"/>
          <w:highlight w:val="none"/>
          <w:lang w:eastAsia="zh-CN"/>
        </w:rPr>
        <w:t>本工程投资概算为：</w:t>
      </w:r>
      <w:r>
        <w:rPr>
          <w:rFonts w:hint="eastAsia"/>
          <w:color w:val="auto"/>
          <w:highlight w:val="none"/>
          <w:lang w:val="en-US" w:eastAsia="zh-CN"/>
        </w:rPr>
        <w:t>835.52万</w:t>
      </w:r>
      <w:r>
        <w:rPr>
          <w:rFonts w:hint="eastAsia"/>
          <w:color w:val="auto"/>
          <w:highlight w:val="none"/>
          <w:lang w:eastAsia="zh-CN"/>
        </w:rPr>
        <w:t>元。</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其中：其中建安费</w:t>
      </w:r>
      <w:r>
        <w:rPr>
          <w:rFonts w:hint="eastAsia"/>
          <w:color w:val="auto"/>
          <w:highlight w:val="none"/>
          <w:lang w:val="en-US" w:eastAsia="zh-CN"/>
        </w:rPr>
        <w:t>663.45万元，独立费99.85万元，基本预备费28.25万元，工程占地补偿费42.69万元。</w:t>
      </w:r>
    </w:p>
    <w:bookmarkEnd w:id="117"/>
    <w:p>
      <w:pPr>
        <w:pStyle w:val="3"/>
        <w:rPr>
          <w:rFonts w:hint="eastAsia"/>
          <w:color w:val="auto"/>
          <w:highlight w:val="none"/>
        </w:rPr>
      </w:pPr>
      <w:bookmarkStart w:id="118" w:name="_Toc536295046"/>
      <w:bookmarkStart w:id="119" w:name="_Toc263"/>
      <w:r>
        <w:rPr>
          <w:rFonts w:hint="eastAsia"/>
          <w:color w:val="auto"/>
          <w:highlight w:val="none"/>
        </w:rPr>
        <w:t>1.1</w:t>
      </w:r>
      <w:r>
        <w:rPr>
          <w:rFonts w:hint="eastAsia"/>
          <w:color w:val="auto"/>
          <w:highlight w:val="none"/>
          <w:lang w:val="en-US" w:eastAsia="zh-CN"/>
        </w:rPr>
        <w:t>5</w:t>
      </w:r>
      <w:r>
        <w:rPr>
          <w:rFonts w:hint="eastAsia"/>
          <w:color w:val="auto"/>
          <w:highlight w:val="none"/>
        </w:rPr>
        <w:t xml:space="preserve"> 经济评价</w:t>
      </w:r>
      <w:bookmarkEnd w:id="108"/>
      <w:bookmarkEnd w:id="109"/>
      <w:bookmarkEnd w:id="118"/>
      <w:bookmarkEnd w:id="119"/>
    </w:p>
    <w:p>
      <w:pPr>
        <w:ind w:firstLine="480"/>
        <w:rPr>
          <w:color w:val="auto"/>
          <w:highlight w:val="none"/>
        </w:rPr>
      </w:pPr>
      <w:r>
        <w:rPr>
          <w:rFonts w:hint="eastAsia"/>
          <w:color w:val="auto"/>
          <w:highlight w:val="none"/>
        </w:rPr>
        <w:t>结论：通过以上国民经济评价、财务分析、生态效益分析、社会效益分析，认为本工程实施后，具有较好的排洪、灌溉效益，可以极大地改善区域内排洪能力及灌溉条件，同时具有显著的生态效益和社会效益。</w:t>
      </w:r>
    </w:p>
    <w:p>
      <w:pPr>
        <w:ind w:firstLine="480"/>
        <w:rPr>
          <w:color w:val="auto"/>
          <w:highlight w:val="none"/>
        </w:rPr>
      </w:pPr>
      <w:r>
        <w:rPr>
          <w:rFonts w:hint="eastAsia"/>
          <w:color w:val="auto"/>
          <w:highlight w:val="none"/>
        </w:rPr>
        <w:t>建议：（</w:t>
      </w:r>
      <w:r>
        <w:rPr>
          <w:color w:val="auto"/>
          <w:highlight w:val="none"/>
        </w:rPr>
        <w:t>1</w:t>
      </w:r>
      <w:r>
        <w:rPr>
          <w:rFonts w:hint="eastAsia"/>
          <w:color w:val="auto"/>
          <w:highlight w:val="none"/>
        </w:rPr>
        <w:t>）工程技术上可行，效益显著，建议尽快立项实施；（</w:t>
      </w:r>
      <w:r>
        <w:rPr>
          <w:color w:val="auto"/>
          <w:highlight w:val="none"/>
        </w:rPr>
        <w:t>2</w:t>
      </w:r>
      <w:r>
        <w:rPr>
          <w:rFonts w:hint="eastAsia"/>
          <w:color w:val="auto"/>
          <w:highlight w:val="none"/>
        </w:rPr>
        <w:t>）施工时，建设单位应采用公开招标、投标的办法，选择具有相应的施工等级，技术力量过硬的施工单位承建，严格遵守质量规范，保证工程尽快发挥效益。</w:t>
      </w:r>
    </w:p>
    <w:p>
      <w:pPr>
        <w:pStyle w:val="3"/>
        <w:rPr>
          <w:color w:val="auto"/>
          <w:highlight w:val="none"/>
        </w:rPr>
      </w:pPr>
      <w:bookmarkStart w:id="120" w:name="_Toc3595"/>
      <w:r>
        <w:rPr>
          <w:rFonts w:hint="eastAsia"/>
          <w:color w:val="auto"/>
          <w:highlight w:val="none"/>
        </w:rPr>
        <w:t>1.1</w:t>
      </w:r>
      <w:r>
        <w:rPr>
          <w:rFonts w:hint="eastAsia"/>
          <w:color w:val="auto"/>
          <w:highlight w:val="none"/>
          <w:lang w:val="en-US" w:eastAsia="zh-CN"/>
        </w:rPr>
        <w:t>6</w:t>
      </w:r>
      <w:r>
        <w:rPr>
          <w:rFonts w:hint="eastAsia"/>
          <w:color w:val="auto"/>
          <w:highlight w:val="none"/>
        </w:rPr>
        <w:t xml:space="preserve"> 海绵城市建设</w:t>
      </w:r>
      <w:bookmarkEnd w:id="120"/>
    </w:p>
    <w:p>
      <w:pPr>
        <w:ind w:firstLine="480"/>
        <w:rPr>
          <w:color w:val="auto"/>
          <w:highlight w:val="none"/>
        </w:rPr>
      </w:pPr>
      <w:r>
        <w:rPr>
          <w:rFonts w:hint="eastAsia"/>
          <w:color w:val="auto"/>
          <w:highlight w:val="none"/>
        </w:rPr>
        <w:t>本工程为</w:t>
      </w:r>
      <w:r>
        <w:rPr>
          <w:rFonts w:hint="eastAsia"/>
          <w:color w:val="auto"/>
          <w:highlight w:val="none"/>
          <w:lang w:eastAsia="zh-CN"/>
        </w:rPr>
        <w:t>南大水库灌区干渠改造</w:t>
      </w:r>
      <w:r>
        <w:rPr>
          <w:rFonts w:hint="eastAsia"/>
          <w:color w:val="auto"/>
          <w:highlight w:val="none"/>
        </w:rPr>
        <w:t>工程，通过</w:t>
      </w:r>
      <w:r>
        <w:rPr>
          <w:color w:val="auto"/>
          <w:highlight w:val="none"/>
        </w:rPr>
        <w:t>水闸重建、</w:t>
      </w:r>
      <w:r>
        <w:rPr>
          <w:rFonts w:hint="eastAsia"/>
          <w:color w:val="auto"/>
          <w:highlight w:val="none"/>
        </w:rPr>
        <w:t>渠道整治</w:t>
      </w:r>
      <w:r>
        <w:rPr>
          <w:color w:val="auto"/>
          <w:highlight w:val="none"/>
        </w:rPr>
        <w:t>等</w:t>
      </w:r>
      <w:r>
        <w:rPr>
          <w:rFonts w:hint="eastAsia"/>
          <w:color w:val="auto"/>
          <w:highlight w:val="none"/>
        </w:rPr>
        <w:t>对本区域的雨水排放起到重要的调蓄作用，且本工程采用的工程措施具有强透水性，能够使大部分雨水渗入地下，降低</w:t>
      </w:r>
      <w:r>
        <w:rPr>
          <w:color w:val="auto"/>
          <w:highlight w:val="none"/>
        </w:rPr>
        <w:t>地表溢流漫流，</w:t>
      </w:r>
      <w:r>
        <w:rPr>
          <w:rFonts w:hint="eastAsia"/>
          <w:color w:val="auto"/>
          <w:highlight w:val="none"/>
        </w:rPr>
        <w:t>使降雨</w:t>
      </w:r>
      <w:r>
        <w:rPr>
          <w:color w:val="auto"/>
          <w:highlight w:val="none"/>
        </w:rPr>
        <w:t>可以尽可能</w:t>
      </w:r>
      <w:r>
        <w:rPr>
          <w:rFonts w:hint="eastAsia"/>
          <w:color w:val="auto"/>
          <w:highlight w:val="none"/>
        </w:rPr>
        <w:t>的</w:t>
      </w:r>
      <w:r>
        <w:rPr>
          <w:color w:val="auto"/>
          <w:highlight w:val="none"/>
        </w:rPr>
        <w:t>消纳和利用</w:t>
      </w:r>
      <w:r>
        <w:rPr>
          <w:rFonts w:hint="eastAsia"/>
          <w:color w:val="auto"/>
          <w:highlight w:val="none"/>
        </w:rPr>
        <w:t>，</w:t>
      </w:r>
      <w:r>
        <w:rPr>
          <w:color w:val="auto"/>
          <w:highlight w:val="none"/>
        </w:rPr>
        <w:t>有效控制</w:t>
      </w:r>
      <w:r>
        <w:rPr>
          <w:rFonts w:hint="eastAsia"/>
          <w:color w:val="auto"/>
          <w:highlight w:val="none"/>
        </w:rPr>
        <w:t>农业</w:t>
      </w:r>
      <w:r>
        <w:rPr>
          <w:color w:val="auto"/>
          <w:highlight w:val="none"/>
        </w:rPr>
        <w:t>面源污染</w:t>
      </w:r>
      <w:r>
        <w:rPr>
          <w:rFonts w:hint="eastAsia"/>
          <w:color w:val="auto"/>
          <w:highlight w:val="none"/>
        </w:rPr>
        <w:t>，大大降低了地面排水系统的负荷，本工程的建设符合《广州市海绵城市规划建设管理暂行办法》，采取的工程措施是适宜的。</w:t>
      </w:r>
    </w:p>
    <w:p>
      <w:pPr>
        <w:ind w:firstLine="480"/>
        <w:rPr>
          <w:color w:val="auto"/>
          <w:highlight w:val="none"/>
        </w:rPr>
      </w:pPr>
    </w:p>
    <w:p>
      <w:pPr>
        <w:ind w:firstLine="480"/>
        <w:rPr>
          <w:color w:val="auto"/>
          <w:highlight w:val="none"/>
        </w:rPr>
      </w:pPr>
    </w:p>
    <w:p>
      <w:pPr>
        <w:ind w:firstLine="0" w:firstLineChars="0"/>
        <w:rPr>
          <w:color w:val="auto"/>
          <w:highlight w:val="none"/>
        </w:rPr>
        <w:sectPr>
          <w:footerReference r:id="rId6" w:type="default"/>
          <w:pgSz w:w="11906" w:h="16838"/>
          <w:pgMar w:top="1440" w:right="1247" w:bottom="1440" w:left="1701" w:header="851" w:footer="992" w:gutter="0"/>
          <w:pgBorders>
            <w:top w:val="none" w:sz="0" w:space="0"/>
            <w:left w:val="none" w:sz="0" w:space="0"/>
            <w:bottom w:val="none" w:sz="0" w:space="0"/>
            <w:right w:val="none" w:sz="0" w:space="0"/>
          </w:pgBorders>
          <w:pgNumType w:fmt="decimal" w:start="1"/>
          <w:cols w:space="425" w:num="1"/>
          <w:docGrid w:linePitch="312" w:charSpace="0"/>
        </w:sectPr>
      </w:pPr>
    </w:p>
    <w:bookmarkEnd w:id="1"/>
    <w:p>
      <w:pPr>
        <w:pStyle w:val="2"/>
        <w:keepNext w:val="0"/>
        <w:keepLines w:val="0"/>
        <w:pageBreakBefore/>
        <w:spacing w:beforeLines="50" w:afterLines="50" w:line="360" w:lineRule="auto"/>
        <w:ind w:firstLine="640"/>
        <w:rPr>
          <w:b/>
          <w:color w:val="auto"/>
          <w:szCs w:val="32"/>
          <w:highlight w:val="none"/>
        </w:rPr>
      </w:pPr>
      <w:bookmarkStart w:id="121" w:name="_Toc24053"/>
      <w:r>
        <w:rPr>
          <w:rFonts w:hint="eastAsia"/>
          <w:color w:val="auto"/>
          <w:szCs w:val="32"/>
          <w:highlight w:val="none"/>
        </w:rPr>
        <w:t xml:space="preserve">2 </w:t>
      </w:r>
      <w:r>
        <w:rPr>
          <w:rFonts w:hint="eastAsia"/>
          <w:color w:val="auto"/>
          <w:szCs w:val="32"/>
          <w:highlight w:val="none"/>
          <w:lang w:val="en-US" w:eastAsia="zh-CN"/>
        </w:rPr>
        <w:t xml:space="preserve"> </w:t>
      </w:r>
      <w:r>
        <w:rPr>
          <w:rFonts w:hint="eastAsia"/>
          <w:color w:val="auto"/>
          <w:szCs w:val="32"/>
          <w:highlight w:val="none"/>
        </w:rPr>
        <w:t>水 文</w:t>
      </w:r>
      <w:bookmarkEnd w:id="121"/>
    </w:p>
    <w:p>
      <w:pPr>
        <w:pStyle w:val="3"/>
        <w:rPr>
          <w:color w:val="auto"/>
          <w:highlight w:val="none"/>
        </w:rPr>
      </w:pPr>
      <w:bookmarkStart w:id="122" w:name="_Toc513816892"/>
      <w:bookmarkStart w:id="123" w:name="_Toc536295048"/>
      <w:bookmarkStart w:id="124" w:name="_Toc16844"/>
      <w:r>
        <w:rPr>
          <w:rFonts w:hint="eastAsia"/>
          <w:color w:val="auto"/>
          <w:highlight w:val="none"/>
        </w:rPr>
        <w:t>2</w:t>
      </w:r>
      <w:r>
        <w:rPr>
          <w:color w:val="auto"/>
          <w:highlight w:val="none"/>
        </w:rPr>
        <w:t xml:space="preserve">.1 </w:t>
      </w:r>
      <w:r>
        <w:rPr>
          <w:rFonts w:hint="eastAsia"/>
          <w:color w:val="auto"/>
          <w:highlight w:val="none"/>
        </w:rPr>
        <w:t>流域概况</w:t>
      </w:r>
      <w:bookmarkEnd w:id="122"/>
      <w:bookmarkEnd w:id="123"/>
      <w:bookmarkEnd w:id="124"/>
    </w:p>
    <w:p>
      <w:pPr>
        <w:pStyle w:val="335"/>
        <w:spacing w:before="120" w:after="120"/>
        <w:rPr>
          <w:color w:val="auto"/>
          <w:highlight w:val="none"/>
        </w:rPr>
      </w:pPr>
      <w:bookmarkStart w:id="125" w:name="_Toc536295049"/>
      <w:r>
        <w:rPr>
          <w:color w:val="auto"/>
          <w:highlight w:val="none"/>
        </w:rPr>
        <w:t xml:space="preserve">2.1.1 </w:t>
      </w:r>
      <w:r>
        <w:rPr>
          <w:rFonts w:hint="eastAsia"/>
          <w:color w:val="auto"/>
          <w:highlight w:val="none"/>
        </w:rPr>
        <w:t>水系概况</w:t>
      </w:r>
      <w:bookmarkEnd w:id="125"/>
    </w:p>
    <w:p>
      <w:pPr>
        <w:ind w:firstLine="480"/>
        <w:rPr>
          <w:rFonts w:hint="eastAsia"/>
          <w:color w:val="auto"/>
          <w:highlight w:val="none"/>
        </w:rPr>
      </w:pPr>
      <w:r>
        <w:rPr>
          <w:rFonts w:hint="eastAsia"/>
          <w:color w:val="auto"/>
          <w:highlight w:val="none"/>
          <w:lang w:eastAsia="zh-CN"/>
        </w:rPr>
        <w:t>从化区</w:t>
      </w:r>
      <w:r>
        <w:rPr>
          <w:rFonts w:hint="eastAsia"/>
          <w:color w:val="auto"/>
          <w:highlight w:val="none"/>
        </w:rPr>
        <w:t>位于广东省中部，广州市区东北面，属半山区。东北部以山地、丘陵为主，中南部以丘陵、谷地为主，西部以丘陵、台地为主。从化总面积</w:t>
      </w:r>
      <w:r>
        <w:rPr>
          <w:rFonts w:hint="eastAsia"/>
          <w:color w:val="auto"/>
          <w:highlight w:val="none"/>
          <w:lang w:eastAsia="zh-CN"/>
        </w:rPr>
        <w:t>1985</w:t>
      </w:r>
      <w:r>
        <w:rPr>
          <w:rFonts w:hint="eastAsia"/>
          <w:color w:val="auto"/>
          <w:highlight w:val="none"/>
        </w:rPr>
        <w:t>km</w:t>
      </w:r>
      <w:r>
        <w:rPr>
          <w:rFonts w:hint="eastAsia"/>
          <w:color w:val="auto"/>
          <w:highlight w:val="none"/>
          <w:lang w:val="en-US" w:eastAsia="zh-CN"/>
        </w:rPr>
        <w:t>²</w:t>
      </w:r>
      <w:r>
        <w:rPr>
          <w:rFonts w:hint="eastAsia"/>
          <w:color w:val="auto"/>
          <w:highlight w:val="none"/>
        </w:rPr>
        <w:t>，河流众多，共计</w:t>
      </w:r>
      <w:r>
        <w:rPr>
          <w:rFonts w:hint="eastAsia"/>
          <w:color w:val="auto"/>
          <w:highlight w:val="none"/>
          <w:lang w:eastAsia="zh-CN"/>
        </w:rPr>
        <w:t>205条</w:t>
      </w:r>
      <w:r>
        <w:rPr>
          <w:rFonts w:hint="eastAsia"/>
          <w:color w:val="auto"/>
          <w:highlight w:val="none"/>
        </w:rPr>
        <w:t>河流，均属于山区性河流，分别属于流溪河流域、潖江（二）河流域及连麻河流域。流溪河是从化的最大一条河流，总长156km，从北到南流贯全市，是广州市的“母亲河”，</w:t>
      </w:r>
      <w:r>
        <w:rPr>
          <w:rFonts w:hint="eastAsia"/>
          <w:color w:val="auto"/>
          <w:highlight w:val="none"/>
          <w:lang w:eastAsia="zh-CN"/>
        </w:rPr>
        <w:t>从化区流溪河流域共有河流178条（含流溪河干流）</w:t>
      </w:r>
      <w:r>
        <w:rPr>
          <w:rFonts w:hint="eastAsia"/>
          <w:color w:val="auto"/>
          <w:highlight w:val="none"/>
        </w:rPr>
        <w:t>，其中流域面积在100km</w:t>
      </w:r>
      <w:r>
        <w:rPr>
          <w:rFonts w:hint="eastAsia"/>
          <w:color w:val="auto"/>
          <w:highlight w:val="none"/>
          <w:lang w:val="en-US" w:eastAsia="zh-CN"/>
        </w:rPr>
        <w:t>²</w:t>
      </w:r>
      <w:r>
        <w:rPr>
          <w:rFonts w:hint="eastAsia"/>
          <w:color w:val="auto"/>
          <w:highlight w:val="none"/>
        </w:rPr>
        <w:t>以上的共有6条，分别为小海河、龙潭河、吕田河、安山河、玉溪河、汾田水。</w:t>
      </w:r>
    </w:p>
    <w:p>
      <w:pPr>
        <w:ind w:firstLine="480"/>
        <w:rPr>
          <w:rFonts w:hint="eastAsia"/>
          <w:color w:val="auto"/>
          <w:highlight w:val="none"/>
        </w:rPr>
      </w:pPr>
      <w:r>
        <w:rPr>
          <w:rFonts w:hint="eastAsia"/>
          <w:color w:val="auto"/>
          <w:highlight w:val="none"/>
        </w:rPr>
        <w:t>小海河位于东经113°34＇35＂~113°49＇42＂，北纬23°27＇18＂~23°40＇10＂，属珠江三角洲水系，旧称曲江水，是流溪河最大的一级支流。小海河发源于</w:t>
      </w:r>
      <w:r>
        <w:rPr>
          <w:rFonts w:hint="eastAsia"/>
          <w:color w:val="auto"/>
          <w:highlight w:val="none"/>
          <w:lang w:eastAsia="zh-CN"/>
        </w:rPr>
        <w:t>从化区</w:t>
      </w:r>
      <w:r>
        <w:rPr>
          <w:rFonts w:hint="eastAsia"/>
          <w:color w:val="auto"/>
          <w:highlight w:val="none"/>
        </w:rPr>
        <w:t>与龙门县交界的横坑大顶西麓（即中心山），呈北高南低，流经掾荷经大岭山水库、白芒潭水库入南大水库，出桃莲，经中田至石海村东南，与朝盖水汇合；出黑山，经江埔至潭村西南与凤凰水汇合；至白田岗北，又与锦洞水汇合。最后在南方村西北汇入流溪河。小海河全长37.5km，流域面积263km</w:t>
      </w:r>
      <w:r>
        <w:rPr>
          <w:rFonts w:hint="eastAsia"/>
          <w:color w:val="auto"/>
          <w:highlight w:val="none"/>
          <w:lang w:val="en-US" w:eastAsia="zh-CN"/>
        </w:rPr>
        <w:t>²</w:t>
      </w:r>
      <w:r>
        <w:rPr>
          <w:rFonts w:hint="eastAsia"/>
          <w:color w:val="auto"/>
          <w:highlight w:val="none"/>
        </w:rPr>
        <w:t>，河床坡降为5.36‰。</w:t>
      </w:r>
    </w:p>
    <w:p>
      <w:pPr>
        <w:ind w:firstLine="480"/>
        <w:rPr>
          <w:rFonts w:hint="eastAsia"/>
          <w:color w:val="auto"/>
          <w:highlight w:val="none"/>
        </w:rPr>
      </w:pPr>
      <w:r>
        <w:rPr>
          <w:rFonts w:hint="eastAsia"/>
          <w:color w:val="auto"/>
          <w:highlight w:val="none"/>
        </w:rPr>
        <w:t>小海河支流众多，其中较大支流有三条：朝盖水、凤凰水及锦洞水。朝盖水源于灌村大尖山的概洞，流经石海与小海河干流汇合，全长16.0km，流域面积为53.42k</w:t>
      </w:r>
      <w:r>
        <w:rPr>
          <w:rFonts w:hint="eastAsia"/>
          <w:color w:val="auto"/>
          <w:highlight w:val="none"/>
          <w:lang w:eastAsia="zh-CN"/>
        </w:rPr>
        <w:t>m²</w:t>
      </w:r>
      <w:r>
        <w:rPr>
          <w:rFonts w:hint="eastAsia"/>
          <w:color w:val="auto"/>
          <w:highlight w:val="none"/>
        </w:rPr>
        <w:t>；凤凰水源于江埔凤凰山，流经江埔的钓里、新围、和睦村，在潭村与小海河干流汇合，全长12.53km，流域面积为53.76k</w:t>
      </w:r>
      <w:r>
        <w:rPr>
          <w:rFonts w:hint="eastAsia"/>
          <w:color w:val="auto"/>
          <w:highlight w:val="none"/>
          <w:lang w:eastAsia="zh-CN"/>
        </w:rPr>
        <w:t>m²</w:t>
      </w:r>
      <w:r>
        <w:rPr>
          <w:rFonts w:hint="eastAsia"/>
          <w:color w:val="auto"/>
          <w:highlight w:val="none"/>
        </w:rPr>
        <w:t>；锦洞水源于大金山，经石门、水产田、锦洞、锦三小学、大田墩至白田岗与小海河干流汇合，全长11.31km，流域面积为24.32k</w:t>
      </w:r>
      <w:r>
        <w:rPr>
          <w:rFonts w:hint="eastAsia"/>
          <w:color w:val="auto"/>
          <w:highlight w:val="none"/>
          <w:lang w:eastAsia="zh-CN"/>
        </w:rPr>
        <w:t>m²</w:t>
      </w:r>
      <w:r>
        <w:rPr>
          <w:rFonts w:hint="eastAsia"/>
          <w:color w:val="auto"/>
          <w:highlight w:val="none"/>
        </w:rPr>
        <w:t>。</w:t>
      </w:r>
    </w:p>
    <w:p>
      <w:pPr>
        <w:ind w:firstLine="480"/>
        <w:rPr>
          <w:rFonts w:hint="eastAsia"/>
          <w:color w:val="auto"/>
          <w:highlight w:val="none"/>
        </w:rPr>
      </w:pPr>
      <w:r>
        <w:rPr>
          <w:rFonts w:hint="eastAsia"/>
          <w:color w:val="auto"/>
          <w:highlight w:val="none"/>
        </w:rPr>
        <w:t>小海河流域内没有大、中型蓄水工程，有小（一）型水库5宗，这些水库大多兴建于上个世纪50～70年代，均以灌溉为主，滞蓄洪水和拦沙的作用较弱。五座小（一）水库分别为凤凰水库、南大水库、大岭山水库、白茫潭水库、石灶水库。目前水质较好。</w:t>
      </w:r>
    </w:p>
    <w:p>
      <w:pPr>
        <w:rPr>
          <w:rFonts w:hint="eastAsia" w:eastAsia="宋体"/>
          <w:color w:val="auto"/>
          <w:highlight w:val="none"/>
          <w:lang w:val="en-US" w:eastAsia="zh-CN"/>
        </w:rPr>
      </w:pPr>
      <w:r>
        <w:rPr>
          <w:rFonts w:hint="eastAsia"/>
          <w:color w:val="auto"/>
          <w:highlight w:val="none"/>
          <w:lang w:val="en-US" w:eastAsia="zh-CN"/>
        </w:rPr>
        <w:t>南大水库位于流溪河一级支流小海河的上游，从化区温泉镇南麓山下，距离从化区街口街约20km，距离广州市约73km。南大水库坝址以上集雨面积为33.2km²，是一座以防洪、灌溉为主，兼顾发电等综合利用的小（1）型水利工程，设计洪水标准为50年一遇，校核洪水标准为500年一遇，主要建筑物水库大坝、输水涵管等级为4级，次要建筑物为5级。</w:t>
      </w:r>
    </w:p>
    <w:p>
      <w:pPr>
        <w:pStyle w:val="335"/>
        <w:spacing w:before="120" w:after="120"/>
        <w:rPr>
          <w:color w:val="auto"/>
          <w:highlight w:val="none"/>
        </w:rPr>
      </w:pPr>
      <w:bookmarkStart w:id="126" w:name="_Toc536295050"/>
      <w:r>
        <w:rPr>
          <w:color w:val="auto"/>
          <w:highlight w:val="none"/>
        </w:rPr>
        <w:t xml:space="preserve">2.1.2 </w:t>
      </w:r>
      <w:r>
        <w:rPr>
          <w:rFonts w:hint="eastAsia"/>
          <w:color w:val="auto"/>
          <w:highlight w:val="none"/>
        </w:rPr>
        <w:t>项目区概况</w:t>
      </w:r>
      <w:bookmarkEnd w:id="126"/>
    </w:p>
    <w:p>
      <w:pPr>
        <w:ind w:firstLine="480"/>
        <w:rPr>
          <w:rFonts w:hint="eastAsia"/>
          <w:color w:val="auto"/>
          <w:highlight w:val="none"/>
        </w:rPr>
      </w:pPr>
      <w:r>
        <w:rPr>
          <w:rFonts w:hint="default"/>
          <w:color w:val="auto"/>
          <w:highlight w:val="none"/>
          <w:lang w:val="en-US" w:eastAsia="zh-CN"/>
        </w:rPr>
        <w:t>根据《广州</w:t>
      </w:r>
      <w:r>
        <w:rPr>
          <w:rFonts w:hint="eastAsia"/>
          <w:color w:val="auto"/>
          <w:highlight w:val="none"/>
          <w:lang w:val="en-US" w:eastAsia="zh-CN"/>
        </w:rPr>
        <w:t>省</w:t>
      </w:r>
      <w:r>
        <w:rPr>
          <w:rFonts w:hint="default"/>
          <w:color w:val="auto"/>
          <w:highlight w:val="none"/>
          <w:lang w:val="en-US" w:eastAsia="zh-CN"/>
        </w:rPr>
        <w:t>山区小型灌区改造工程规划（2011-2020年）》</w:t>
      </w:r>
      <w:r>
        <w:rPr>
          <w:rFonts w:hint="eastAsia"/>
          <w:color w:val="auto"/>
          <w:highlight w:val="none"/>
          <w:lang w:val="en-US" w:eastAsia="zh-CN"/>
        </w:rPr>
        <w:t>（粤水农水[2012]2号），从化区温泉镇南大水库灌区干渠起点位于南大水库下游约2km小海河干流右岸，灌溉用水取自于小海河流域河水，渠首处设置引水闸，干渠流经温泉镇桃莲村、桃莲村、平岗村和龙桥村等，终点位于龙桥村，灌区干渠总长约38km，设计灌溉面积为8900亩，设计取水流量为1.50m³/s，取水水量1600万m³，主要灌溉农作物有水稻、蔬菜、花生、大豆类等。</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南大水库灌区建于上世纪70年代，至今已约50年，现状大部分渠道仍是土渠，为梯形断面，渠道底宽约2~4m，顶宽约为4~6m，渠高约为1.5~2m。由于大部分渠道仍是土渠，防渗能力差，而且渠道大多布置在半山腰，经常会出现因渗透破坏而导致的渠堤塌方，同时在暴雨天，由于山体洪水来得急，部分山体出现塌方堵塞渠道，而且渠道沿线泄洪闸排泄能力不足，也导致渠堤经常出现塌方情况，已严重影响渠道防洪及灌溉效益发挥。</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南大水库灌渠渠首至下游约5.5km渠段，已于2021年完成三面光改造建设，现已正常投入运行。</w:t>
      </w:r>
    </w:p>
    <w:p>
      <w:pPr>
        <w:ind w:firstLine="480"/>
        <w:rPr>
          <w:rFonts w:hint="eastAsia"/>
          <w:b w:val="0"/>
          <w:bCs/>
          <w:color w:val="auto"/>
          <w:highlight w:val="none"/>
          <w:lang w:val="en-US" w:eastAsia="zh-CN"/>
        </w:rPr>
      </w:pPr>
      <w:r>
        <w:rPr>
          <w:rFonts w:hint="eastAsia"/>
          <w:b w:val="0"/>
          <w:bCs/>
          <w:color w:val="auto"/>
          <w:highlight w:val="none"/>
          <w:lang w:val="en-US" w:eastAsia="zh-CN"/>
        </w:rPr>
        <w:t>本次</w:t>
      </w:r>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渠道进行三面光改造，改造起点位于温泉镇桃莲村委后（桩号0+000），距离干渠渠首约5.5km，终点位于从莞深高速公路穿路箱涵进水口（桩号1+207），改造总长1207m。主要建设内容是对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渠道进行三面光改造，改造总长为</w:t>
      </w:r>
      <w:r>
        <w:rPr>
          <w:rFonts w:hint="eastAsia"/>
          <w:b w:val="0"/>
          <w:bCs/>
          <w:color w:val="auto"/>
          <w:highlight w:val="none"/>
          <w:lang w:val="en-US" w:eastAsia="zh-CN"/>
        </w:rPr>
        <w:t>1207m，主要建筑物包括新建浆砌石渠道1207m，新建泄洪闸1座，拆除重建泄洪闸2座，拆除重建机耕桥2座，拆除重建人行桥5座，新建钢筋砼溢流面板1168m²等。</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eastAsia="zh-CN"/>
        </w:rPr>
      </w:pPr>
    </w:p>
    <w:p>
      <w:pPr>
        <w:pStyle w:val="3"/>
        <w:rPr>
          <w:color w:val="auto"/>
          <w:highlight w:val="none"/>
        </w:rPr>
      </w:pPr>
      <w:bookmarkStart w:id="127" w:name="_Toc12852"/>
      <w:bookmarkStart w:id="128" w:name="_Toc536295051"/>
      <w:bookmarkStart w:id="129" w:name="_Toc513816893"/>
      <w:r>
        <w:rPr>
          <w:rFonts w:hint="eastAsia"/>
          <w:color w:val="auto"/>
          <w:highlight w:val="none"/>
        </w:rPr>
        <w:t>2</w:t>
      </w:r>
      <w:r>
        <w:rPr>
          <w:color w:val="auto"/>
          <w:highlight w:val="none"/>
        </w:rPr>
        <w:t xml:space="preserve">.2 </w:t>
      </w:r>
      <w:r>
        <w:rPr>
          <w:rFonts w:hint="eastAsia"/>
          <w:color w:val="auto"/>
          <w:highlight w:val="none"/>
        </w:rPr>
        <w:t>气象</w:t>
      </w:r>
      <w:bookmarkEnd w:id="127"/>
      <w:bookmarkEnd w:id="128"/>
      <w:bookmarkEnd w:id="129"/>
    </w:p>
    <w:p>
      <w:pPr>
        <w:ind w:firstLine="480"/>
        <w:rPr>
          <w:color w:val="auto"/>
          <w:highlight w:val="none"/>
        </w:rPr>
      </w:pPr>
      <w:r>
        <w:rPr>
          <w:rFonts w:hint="eastAsia"/>
          <w:color w:val="auto"/>
          <w:highlight w:val="none"/>
        </w:rPr>
        <w:t>流溪河流域地处南亚热带，属南亚热带典型的季风海洋气候，具有温暖多雨、光热充足、温差较小、夏季长、霜期短(南部地区无霜期，北部地区霜期短)等气候特征。冬季，蒙古高压势力强盛，极地大陆气团笼罩华南地区，气候干冷，睛天为主，春季（2～4月）大陆高压衰减，副热带太平洋高压西伸，温湿水汽开始流入，常出现梅雨天气；夏初南北气团进退不定，受西风带系统和热带系统共同作用，5～6月份有连续暴雨和特大暴雨，7～8月份随副热高压的北移，高压西北雨带也移至江淮一带，受热带季风影响，以热带气旋和热带低压形成的暴雨为本流域主要降雨过程，有些年份台风活动较少，雨量偏少，8后汛期结束，气温高而出现干旱，9～11月东亚季风减弱，北方冷空气开始活动，天气晴朗少云，有些年份出现秋旱。</w:t>
      </w:r>
    </w:p>
    <w:p>
      <w:pPr>
        <w:ind w:firstLine="480"/>
        <w:rPr>
          <w:color w:val="auto"/>
          <w:highlight w:val="none"/>
        </w:rPr>
      </w:pPr>
      <w:r>
        <w:rPr>
          <w:rFonts w:hint="eastAsia"/>
          <w:color w:val="auto"/>
          <w:highlight w:val="none"/>
        </w:rPr>
        <w:t>（1）气温</w:t>
      </w:r>
    </w:p>
    <w:p>
      <w:pPr>
        <w:ind w:firstLine="480"/>
        <w:rPr>
          <w:color w:val="auto"/>
          <w:highlight w:val="none"/>
        </w:rPr>
      </w:pPr>
      <w:r>
        <w:rPr>
          <w:rFonts w:hint="eastAsia"/>
          <w:color w:val="auto"/>
          <w:highlight w:val="none"/>
        </w:rPr>
        <w:t>流溪河流域多年平均气温在21.4℃～21.8℃之间，年内气温以7月份为最高，1月份为最低。绝对最高气温出现在白云区，达38.7℃；绝对最低气温出现在从化吕田，达-7℃。流域多年平均风速1.9m/s。多年平均日照时数约1900小时；对年平均相对湿度77％。</w:t>
      </w:r>
    </w:p>
    <w:p>
      <w:pPr>
        <w:ind w:firstLine="480"/>
        <w:rPr>
          <w:color w:val="auto"/>
          <w:highlight w:val="none"/>
        </w:rPr>
      </w:pPr>
      <w:r>
        <w:rPr>
          <w:rFonts w:hint="eastAsia"/>
          <w:color w:val="auto"/>
          <w:highlight w:val="none"/>
        </w:rPr>
        <w:t>（2）降水</w:t>
      </w:r>
    </w:p>
    <w:p>
      <w:pPr>
        <w:ind w:firstLine="480"/>
        <w:rPr>
          <w:color w:val="auto"/>
          <w:highlight w:val="none"/>
        </w:rPr>
      </w:pPr>
      <w:r>
        <w:rPr>
          <w:rFonts w:hint="eastAsia"/>
          <w:color w:val="auto"/>
          <w:highlight w:val="none"/>
        </w:rPr>
        <w:t>流域暴雨以锋面雨和台风雨为主，其它是对流（热雷）雨和地形雨，因此降雨有较强的季节性，具有降雨强度大，降雨范围广的特点，降水年内分配不均。</w:t>
      </w:r>
    </w:p>
    <w:p>
      <w:pPr>
        <w:ind w:firstLine="480"/>
        <w:rPr>
          <w:color w:val="auto"/>
          <w:highlight w:val="none"/>
        </w:rPr>
      </w:pPr>
      <w:r>
        <w:rPr>
          <w:rFonts w:hint="eastAsia"/>
          <w:color w:val="auto"/>
          <w:highlight w:val="none"/>
        </w:rPr>
        <w:t>由于天气系统的影响，本区暴雨有明显的前后汛期之分。每年4～6月份为前汛期，受西风带天气系统的影响，平均可发生10次暴雨过程。降雨以锋面雨为主，虽然暴雨量级不大，但局地性较强，时程分配较集中，年最大暴雨强度往往发生在该时期内。7～9月份为后汛期，受热带天气系统的影响，进入盛夏季节，降雨以台风雨为主，虽然暴雨时程分配较为均匀，但降雨范围广，总量大。从年最大24h及3d雨量均值等值线来看，区内暴雨量自南向北呈递增趋势。</w:t>
      </w:r>
    </w:p>
    <w:p>
      <w:pPr>
        <w:ind w:firstLine="480"/>
        <w:rPr>
          <w:color w:val="auto"/>
          <w:highlight w:val="none"/>
        </w:rPr>
      </w:pPr>
      <w:r>
        <w:rPr>
          <w:rFonts w:hint="eastAsia"/>
          <w:color w:val="auto"/>
          <w:highlight w:val="none"/>
        </w:rPr>
        <w:t>流域多年平均降水量1823.6mm，最高为流域东北部南侧的天堂顶为2580.0mm，最低为李溪1315.1mm，每年4～9月为雨季，受热雷影响的前汛期(4～6)占年降雨量的48.1%，受热带风暴影响的后汛期(7～9月)占年雨量的33.2%。合计半年降雨量占全年的81.3%，形成丰、枯季节雨量不均的状况。</w:t>
      </w:r>
    </w:p>
    <w:p>
      <w:pPr>
        <w:ind w:firstLine="480"/>
        <w:rPr>
          <w:color w:val="auto"/>
          <w:highlight w:val="none"/>
        </w:rPr>
      </w:pPr>
      <w:r>
        <w:rPr>
          <w:rFonts w:hint="eastAsia"/>
          <w:color w:val="auto"/>
          <w:highlight w:val="none"/>
        </w:rPr>
        <w:t>（3）风向、风速</w:t>
      </w:r>
    </w:p>
    <w:p>
      <w:pPr>
        <w:ind w:firstLine="480"/>
        <w:rPr>
          <w:rFonts w:hint="eastAsia"/>
          <w:color w:val="auto"/>
          <w:highlight w:val="none"/>
        </w:rPr>
      </w:pPr>
      <w:r>
        <w:rPr>
          <w:rFonts w:hint="eastAsia"/>
          <w:color w:val="auto"/>
          <w:highlight w:val="none"/>
        </w:rPr>
        <w:t>冬夏季风交替是从化季风气候的突出特征。冬季的极地大陆气团向南伸展有冷空气南下，干燥寒冷，多偏北风。夏季因热带海洋气团北伸，温暖潮湿，多偏南风或东南风，年平均风速1.6m/s左右，夏季台风出现时风力达9～12级，最大风速25～30m/s。</w:t>
      </w:r>
    </w:p>
    <w:p>
      <w:pPr>
        <w:ind w:firstLine="480"/>
        <w:rPr>
          <w:rFonts w:hint="eastAsia"/>
          <w:color w:val="auto"/>
          <w:highlight w:val="none"/>
        </w:rPr>
      </w:pPr>
      <w:r>
        <w:rPr>
          <w:rFonts w:hint="eastAsia"/>
          <w:color w:val="auto"/>
          <w:highlight w:val="none"/>
        </w:rPr>
        <w:t>（4）日照、湿度、蒸发</w:t>
      </w:r>
    </w:p>
    <w:p>
      <w:pPr>
        <w:ind w:firstLine="480"/>
        <w:rPr>
          <w:color w:val="auto"/>
          <w:highlight w:val="none"/>
        </w:rPr>
      </w:pPr>
      <w:r>
        <w:rPr>
          <w:rFonts w:hint="eastAsia"/>
          <w:color w:val="auto"/>
          <w:highlight w:val="none"/>
        </w:rPr>
        <w:t>从化区光热资源充足，年平均辐射量103571卡／c</w:t>
      </w:r>
      <w:r>
        <w:rPr>
          <w:rFonts w:hint="eastAsia"/>
          <w:color w:val="auto"/>
          <w:highlight w:val="none"/>
          <w:lang w:eastAsia="zh-CN"/>
        </w:rPr>
        <w:t>m²</w:t>
      </w:r>
      <w:r>
        <w:rPr>
          <w:rFonts w:hint="eastAsia"/>
          <w:color w:val="auto"/>
          <w:highlight w:val="none"/>
        </w:rPr>
        <w:t>，年平均日照中南部为1809.3h，北部为1697.6h，水面蒸发量年际变化不大，但年内分配差异显著，最大蒸发一般发生在7月，最小蒸发一般发生在2月。</w:t>
      </w:r>
    </w:p>
    <w:p>
      <w:pPr>
        <w:ind w:firstLine="480"/>
        <w:rPr>
          <w:color w:val="auto"/>
          <w:highlight w:val="none"/>
        </w:rPr>
      </w:pPr>
      <w:r>
        <w:rPr>
          <w:rFonts w:hint="eastAsia"/>
          <w:color w:val="auto"/>
          <w:highlight w:val="none"/>
        </w:rPr>
        <w:t>流溪河流域多年平均相对湿度75～85％，从化区月平均相对湿度在62％～93％之间。</w:t>
      </w:r>
    </w:p>
    <w:p>
      <w:pPr>
        <w:ind w:firstLine="480"/>
        <w:rPr>
          <w:color w:val="auto"/>
          <w:highlight w:val="none"/>
        </w:rPr>
      </w:pPr>
      <w:r>
        <w:rPr>
          <w:rFonts w:hint="eastAsia"/>
          <w:color w:val="auto"/>
          <w:highlight w:val="none"/>
        </w:rPr>
        <w:t>流溪河流域多年平均水面蒸发量1100mm，中、下游较大，温泉以西蒸发量为1300mm，以东为1200mm。</w:t>
      </w:r>
    </w:p>
    <w:p>
      <w:pPr>
        <w:pStyle w:val="3"/>
        <w:rPr>
          <w:color w:val="auto"/>
          <w:highlight w:val="none"/>
        </w:rPr>
      </w:pPr>
      <w:bookmarkStart w:id="130" w:name="_Toc2337"/>
      <w:bookmarkStart w:id="131" w:name="_Toc513816894"/>
      <w:bookmarkStart w:id="132" w:name="_Toc536295052"/>
      <w:r>
        <w:rPr>
          <w:rFonts w:hint="eastAsia"/>
          <w:color w:val="auto"/>
          <w:highlight w:val="none"/>
        </w:rPr>
        <w:t>2</w:t>
      </w:r>
      <w:r>
        <w:rPr>
          <w:color w:val="auto"/>
          <w:highlight w:val="none"/>
        </w:rPr>
        <w:t xml:space="preserve">.3 </w:t>
      </w:r>
      <w:r>
        <w:rPr>
          <w:rFonts w:hint="eastAsia"/>
          <w:color w:val="auto"/>
          <w:highlight w:val="none"/>
        </w:rPr>
        <w:t>水文</w:t>
      </w:r>
      <w:r>
        <w:rPr>
          <w:color w:val="auto"/>
          <w:highlight w:val="none"/>
        </w:rPr>
        <w:t>基本资料</w:t>
      </w:r>
      <w:bookmarkEnd w:id="130"/>
      <w:bookmarkEnd w:id="131"/>
      <w:bookmarkEnd w:id="132"/>
    </w:p>
    <w:p>
      <w:pPr>
        <w:ind w:firstLine="480"/>
        <w:rPr>
          <w:color w:val="auto"/>
          <w:highlight w:val="none"/>
        </w:rPr>
      </w:pPr>
      <w:r>
        <w:rPr>
          <w:rFonts w:hint="eastAsia"/>
          <w:color w:val="auto"/>
          <w:highlight w:val="none"/>
        </w:rPr>
        <w:t>流溪河流域多年平均降雨量1823.6mm，最大年降雨量为2885mm，最小年降雨量为1157mm。前汛期(4～6月)占年降雨量的48.1％，后汛期(7～9月)占年降雨量的33.2％，合计(4～9月)降雨量占全年的81.3％，形成丰、枯季节不均的状况</w:t>
      </w:r>
    </w:p>
    <w:p>
      <w:pPr>
        <w:ind w:firstLine="480"/>
        <w:rPr>
          <w:rFonts w:hint="eastAsia"/>
          <w:color w:val="auto"/>
          <w:highlight w:val="none"/>
        </w:rPr>
      </w:pPr>
      <w:r>
        <w:rPr>
          <w:rFonts w:hint="eastAsia"/>
          <w:color w:val="auto"/>
          <w:highlight w:val="none"/>
        </w:rPr>
        <w:t>流溪河的水文资料观测点，大致可分为两个不同的情况：一是五十年代为做好流溪河水资源开发利用而设立的一批专用水文站点，另一个是建成流溪河大型水库及一批中型水库、大型拦河闸坝工程后为做好工程的管理和合理调度使用水资源而设立的一批工程水文观测点。各站点的资料情况见下表。</w:t>
      </w:r>
    </w:p>
    <w:p>
      <w:pPr>
        <w:ind w:firstLine="480"/>
        <w:rPr>
          <w:rFonts w:hint="eastAsia"/>
          <w:color w:val="auto"/>
          <w:highlight w:val="none"/>
        </w:rPr>
      </w:pPr>
      <w:r>
        <w:rPr>
          <w:rFonts w:hint="eastAsia"/>
          <w:color w:val="auto"/>
          <w:highlight w:val="none"/>
        </w:rPr>
        <w:br w:type="page"/>
      </w:r>
    </w:p>
    <w:p>
      <w:pPr>
        <w:ind w:firstLine="480"/>
        <w:rPr>
          <w:rFonts w:hint="eastAsia"/>
          <w:color w:val="auto"/>
          <w:highlight w:val="none"/>
        </w:rPr>
      </w:pPr>
    </w:p>
    <w:p>
      <w:pPr>
        <w:pStyle w:val="264"/>
        <w:numPr>
          <w:ilvl w:val="4"/>
          <w:numId w:val="0"/>
        </w:numPr>
        <w:ind w:left="480" w:leftChars="0"/>
        <w:jc w:val="center"/>
        <w:rPr>
          <w:rFonts w:ascii="宋体" w:hAnsi="宋体" w:eastAsia="黑体"/>
          <w:b w:val="0"/>
          <w:color w:val="auto"/>
          <w:highlight w:val="none"/>
        </w:rPr>
      </w:pPr>
      <w:r>
        <w:rPr>
          <w:rFonts w:hint="eastAsia" w:ascii="宋体" w:hAnsi="宋体" w:eastAsia="黑体"/>
          <w:b w:val="0"/>
          <w:color w:val="auto"/>
          <w:highlight w:val="none"/>
          <w:lang w:eastAsia="zh-CN"/>
        </w:rPr>
        <w:t>表</w:t>
      </w:r>
      <w:r>
        <w:rPr>
          <w:rFonts w:hint="eastAsia" w:ascii="宋体" w:hAnsi="宋体" w:eastAsia="黑体"/>
          <w:b w:val="0"/>
          <w:color w:val="auto"/>
          <w:highlight w:val="none"/>
          <w:lang w:val="en-US" w:eastAsia="zh-CN"/>
        </w:rPr>
        <w:t xml:space="preserve">2-1 </w:t>
      </w:r>
      <w:r>
        <w:rPr>
          <w:rFonts w:hint="eastAsia" w:ascii="宋体" w:hAnsi="宋体" w:eastAsia="黑体"/>
          <w:b w:val="0"/>
          <w:color w:val="auto"/>
          <w:highlight w:val="none"/>
        </w:rPr>
        <w:t>主要水文、气象站基本情况表</w:t>
      </w:r>
    </w:p>
    <w:tbl>
      <w:tblPr>
        <w:tblStyle w:val="4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1"/>
        <w:gridCol w:w="1015"/>
        <w:gridCol w:w="1529"/>
        <w:gridCol w:w="1689"/>
        <w:gridCol w:w="1482"/>
        <w:gridCol w:w="17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021" w:type="dxa"/>
            <w:vMerge w:val="restart"/>
            <w:vAlign w:val="center"/>
          </w:tcPr>
          <w:p>
            <w:pPr>
              <w:pStyle w:val="272"/>
              <w:spacing w:line="240" w:lineRule="auto"/>
              <w:rPr>
                <w:color w:val="auto"/>
                <w:highlight w:val="none"/>
              </w:rPr>
            </w:pPr>
            <w:r>
              <w:rPr>
                <w:rFonts w:hint="eastAsia"/>
                <w:color w:val="auto"/>
                <w:highlight w:val="none"/>
              </w:rPr>
              <w:t>站  名</w:t>
            </w:r>
          </w:p>
        </w:tc>
        <w:tc>
          <w:tcPr>
            <w:tcW w:w="1015" w:type="dxa"/>
            <w:vMerge w:val="restart"/>
            <w:vAlign w:val="center"/>
          </w:tcPr>
          <w:p>
            <w:pPr>
              <w:pStyle w:val="272"/>
              <w:spacing w:line="240" w:lineRule="auto"/>
              <w:rPr>
                <w:color w:val="auto"/>
                <w:highlight w:val="none"/>
              </w:rPr>
            </w:pPr>
            <w:r>
              <w:rPr>
                <w:rFonts w:hint="eastAsia"/>
                <w:color w:val="auto"/>
                <w:highlight w:val="none"/>
              </w:rPr>
              <w:t>流域面积</w:t>
            </w:r>
          </w:p>
          <w:p>
            <w:pPr>
              <w:pStyle w:val="272"/>
              <w:spacing w:line="240" w:lineRule="auto"/>
              <w:rPr>
                <w:color w:val="auto"/>
                <w:highlight w:val="none"/>
              </w:rPr>
            </w:pPr>
            <w:r>
              <w:rPr>
                <w:rFonts w:hint="eastAsia"/>
                <w:color w:val="auto"/>
                <w:highlight w:val="none"/>
              </w:rPr>
              <w:t>（k</w:t>
            </w:r>
            <w:r>
              <w:rPr>
                <w:rFonts w:hint="eastAsia"/>
                <w:color w:val="auto"/>
                <w:highlight w:val="none"/>
                <w:lang w:eastAsia="zh-CN"/>
              </w:rPr>
              <w:t>m²</w:t>
            </w:r>
            <w:r>
              <w:rPr>
                <w:rFonts w:hint="eastAsia"/>
                <w:color w:val="auto"/>
                <w:highlight w:val="none"/>
              </w:rPr>
              <w:t>）</w:t>
            </w:r>
          </w:p>
        </w:tc>
        <w:tc>
          <w:tcPr>
            <w:tcW w:w="4700" w:type="dxa"/>
            <w:gridSpan w:val="3"/>
            <w:vAlign w:val="center"/>
          </w:tcPr>
          <w:p>
            <w:pPr>
              <w:pStyle w:val="272"/>
              <w:spacing w:line="240" w:lineRule="auto"/>
              <w:rPr>
                <w:color w:val="auto"/>
                <w:highlight w:val="none"/>
              </w:rPr>
            </w:pPr>
            <w:r>
              <w:rPr>
                <w:rFonts w:hint="eastAsia"/>
                <w:color w:val="auto"/>
                <w:highlight w:val="none"/>
              </w:rPr>
              <w:t>观测项目及年限</w:t>
            </w:r>
          </w:p>
        </w:tc>
        <w:tc>
          <w:tcPr>
            <w:tcW w:w="1786" w:type="dxa"/>
            <w:vMerge w:val="restart"/>
            <w:vAlign w:val="center"/>
          </w:tcPr>
          <w:p>
            <w:pPr>
              <w:pStyle w:val="272"/>
              <w:spacing w:line="240" w:lineRule="auto"/>
              <w:rPr>
                <w:color w:val="auto"/>
                <w:highlight w:val="none"/>
              </w:rPr>
            </w:pPr>
            <w:r>
              <w:rPr>
                <w:rFonts w:hint="eastAsia"/>
                <w:color w:val="auto"/>
                <w:highlight w:val="none"/>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021" w:type="dxa"/>
            <w:vMerge w:val="continue"/>
            <w:vAlign w:val="center"/>
          </w:tcPr>
          <w:p>
            <w:pPr>
              <w:pStyle w:val="272"/>
              <w:spacing w:line="240" w:lineRule="auto"/>
              <w:rPr>
                <w:color w:val="auto"/>
                <w:highlight w:val="none"/>
              </w:rPr>
            </w:pPr>
          </w:p>
        </w:tc>
        <w:tc>
          <w:tcPr>
            <w:tcW w:w="1015" w:type="dxa"/>
            <w:vMerge w:val="continue"/>
            <w:vAlign w:val="center"/>
          </w:tcPr>
          <w:p>
            <w:pPr>
              <w:pStyle w:val="272"/>
              <w:spacing w:line="240" w:lineRule="auto"/>
              <w:rPr>
                <w:color w:val="auto"/>
                <w:highlight w:val="none"/>
              </w:rPr>
            </w:pPr>
          </w:p>
        </w:tc>
        <w:tc>
          <w:tcPr>
            <w:tcW w:w="1529" w:type="dxa"/>
            <w:vAlign w:val="center"/>
          </w:tcPr>
          <w:p>
            <w:pPr>
              <w:pStyle w:val="272"/>
              <w:spacing w:line="240" w:lineRule="auto"/>
              <w:rPr>
                <w:color w:val="auto"/>
                <w:highlight w:val="none"/>
              </w:rPr>
            </w:pPr>
            <w:r>
              <w:rPr>
                <w:rFonts w:hint="eastAsia"/>
                <w:color w:val="auto"/>
                <w:highlight w:val="none"/>
              </w:rPr>
              <w:t>水位</w:t>
            </w:r>
          </w:p>
        </w:tc>
        <w:tc>
          <w:tcPr>
            <w:tcW w:w="1689" w:type="dxa"/>
            <w:vAlign w:val="center"/>
          </w:tcPr>
          <w:p>
            <w:pPr>
              <w:pStyle w:val="272"/>
              <w:spacing w:line="240" w:lineRule="auto"/>
              <w:rPr>
                <w:color w:val="auto"/>
                <w:highlight w:val="none"/>
              </w:rPr>
            </w:pPr>
            <w:r>
              <w:rPr>
                <w:rFonts w:hint="eastAsia"/>
                <w:color w:val="auto"/>
                <w:highlight w:val="none"/>
              </w:rPr>
              <w:t>流量</w:t>
            </w:r>
          </w:p>
        </w:tc>
        <w:tc>
          <w:tcPr>
            <w:tcW w:w="1482" w:type="dxa"/>
            <w:vAlign w:val="center"/>
          </w:tcPr>
          <w:p>
            <w:pPr>
              <w:pStyle w:val="272"/>
              <w:spacing w:line="240" w:lineRule="auto"/>
              <w:rPr>
                <w:color w:val="auto"/>
                <w:highlight w:val="none"/>
              </w:rPr>
            </w:pPr>
            <w:r>
              <w:rPr>
                <w:rFonts w:hint="eastAsia"/>
                <w:color w:val="auto"/>
                <w:highlight w:val="none"/>
              </w:rPr>
              <w:t>雨量</w:t>
            </w:r>
          </w:p>
        </w:tc>
        <w:tc>
          <w:tcPr>
            <w:tcW w:w="1786" w:type="dxa"/>
            <w:vMerge w:val="continue"/>
            <w:vAlign w:val="center"/>
          </w:tcPr>
          <w:p>
            <w:pPr>
              <w:pStyle w:val="272"/>
              <w:spacing w:line="240" w:lineRule="auto"/>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21" w:type="dxa"/>
            <w:vAlign w:val="center"/>
          </w:tcPr>
          <w:p>
            <w:pPr>
              <w:pStyle w:val="272"/>
              <w:spacing w:line="240" w:lineRule="auto"/>
              <w:rPr>
                <w:color w:val="auto"/>
                <w:highlight w:val="none"/>
              </w:rPr>
            </w:pPr>
            <w:r>
              <w:rPr>
                <w:rFonts w:hint="eastAsia"/>
                <w:color w:val="auto"/>
                <w:highlight w:val="none"/>
              </w:rPr>
              <w:t>东村</w:t>
            </w:r>
          </w:p>
        </w:tc>
        <w:tc>
          <w:tcPr>
            <w:tcW w:w="1015" w:type="dxa"/>
            <w:vAlign w:val="center"/>
          </w:tcPr>
          <w:p>
            <w:pPr>
              <w:pStyle w:val="272"/>
              <w:spacing w:line="240" w:lineRule="auto"/>
              <w:rPr>
                <w:color w:val="auto"/>
                <w:highlight w:val="none"/>
              </w:rPr>
            </w:pPr>
            <w:r>
              <w:rPr>
                <w:rFonts w:hint="eastAsia"/>
                <w:color w:val="auto"/>
                <w:highlight w:val="none"/>
              </w:rPr>
              <w:t>119</w:t>
            </w:r>
          </w:p>
        </w:tc>
        <w:tc>
          <w:tcPr>
            <w:tcW w:w="1529" w:type="dxa"/>
            <w:vAlign w:val="center"/>
          </w:tcPr>
          <w:p>
            <w:pPr>
              <w:pStyle w:val="272"/>
              <w:spacing w:line="240" w:lineRule="auto"/>
              <w:rPr>
                <w:color w:val="auto"/>
                <w:highlight w:val="none"/>
              </w:rPr>
            </w:pPr>
            <w:r>
              <w:rPr>
                <w:rFonts w:hint="eastAsia"/>
                <w:color w:val="auto"/>
                <w:highlight w:val="none"/>
              </w:rPr>
              <w:t>1956.6～1958.8</w:t>
            </w:r>
          </w:p>
        </w:tc>
        <w:tc>
          <w:tcPr>
            <w:tcW w:w="1689" w:type="dxa"/>
            <w:vAlign w:val="center"/>
          </w:tcPr>
          <w:p>
            <w:pPr>
              <w:pStyle w:val="272"/>
              <w:spacing w:line="240" w:lineRule="auto"/>
              <w:rPr>
                <w:color w:val="auto"/>
                <w:highlight w:val="none"/>
              </w:rPr>
            </w:pPr>
            <w:r>
              <w:rPr>
                <w:rFonts w:hint="eastAsia"/>
                <w:color w:val="auto"/>
                <w:highlight w:val="none"/>
              </w:rPr>
              <w:t>1956.6～1957.12</w:t>
            </w:r>
          </w:p>
        </w:tc>
        <w:tc>
          <w:tcPr>
            <w:tcW w:w="1482" w:type="dxa"/>
            <w:vAlign w:val="center"/>
          </w:tcPr>
          <w:p>
            <w:pPr>
              <w:pStyle w:val="272"/>
              <w:spacing w:line="240" w:lineRule="auto"/>
              <w:rPr>
                <w:color w:val="auto"/>
                <w:highlight w:val="none"/>
              </w:rPr>
            </w:pPr>
          </w:p>
        </w:tc>
        <w:tc>
          <w:tcPr>
            <w:tcW w:w="1786" w:type="dxa"/>
            <w:vAlign w:val="center"/>
          </w:tcPr>
          <w:p>
            <w:pPr>
              <w:pStyle w:val="272"/>
              <w:spacing w:line="240" w:lineRule="auto"/>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21" w:type="dxa"/>
            <w:vAlign w:val="center"/>
          </w:tcPr>
          <w:p>
            <w:pPr>
              <w:pStyle w:val="272"/>
              <w:spacing w:line="240" w:lineRule="auto"/>
              <w:rPr>
                <w:color w:val="auto"/>
                <w:highlight w:val="none"/>
              </w:rPr>
            </w:pPr>
            <w:r>
              <w:rPr>
                <w:rFonts w:hint="eastAsia"/>
                <w:color w:val="auto"/>
                <w:highlight w:val="none"/>
              </w:rPr>
              <w:t>流溪乡</w:t>
            </w:r>
          </w:p>
        </w:tc>
        <w:tc>
          <w:tcPr>
            <w:tcW w:w="1015" w:type="dxa"/>
            <w:vAlign w:val="center"/>
          </w:tcPr>
          <w:p>
            <w:pPr>
              <w:pStyle w:val="272"/>
              <w:spacing w:line="240" w:lineRule="auto"/>
              <w:rPr>
                <w:color w:val="auto"/>
                <w:highlight w:val="none"/>
              </w:rPr>
            </w:pPr>
            <w:r>
              <w:rPr>
                <w:rFonts w:hint="eastAsia"/>
                <w:color w:val="auto"/>
                <w:highlight w:val="none"/>
              </w:rPr>
              <w:t>539</w:t>
            </w:r>
          </w:p>
        </w:tc>
        <w:tc>
          <w:tcPr>
            <w:tcW w:w="1529" w:type="dxa"/>
            <w:vAlign w:val="center"/>
          </w:tcPr>
          <w:p>
            <w:pPr>
              <w:pStyle w:val="272"/>
              <w:spacing w:line="240" w:lineRule="auto"/>
              <w:rPr>
                <w:color w:val="auto"/>
                <w:highlight w:val="none"/>
              </w:rPr>
            </w:pPr>
            <w:r>
              <w:rPr>
                <w:rFonts w:hint="eastAsia"/>
                <w:color w:val="auto"/>
                <w:highlight w:val="none"/>
              </w:rPr>
              <w:t>1953.3～1958.7</w:t>
            </w:r>
          </w:p>
        </w:tc>
        <w:tc>
          <w:tcPr>
            <w:tcW w:w="1689" w:type="dxa"/>
            <w:vAlign w:val="center"/>
          </w:tcPr>
          <w:p>
            <w:pPr>
              <w:pStyle w:val="272"/>
              <w:spacing w:line="240" w:lineRule="auto"/>
              <w:rPr>
                <w:color w:val="auto"/>
                <w:highlight w:val="none"/>
              </w:rPr>
            </w:pPr>
            <w:r>
              <w:rPr>
                <w:rFonts w:hint="eastAsia"/>
                <w:color w:val="auto"/>
                <w:highlight w:val="none"/>
              </w:rPr>
              <w:t>1953.4～1957.12</w:t>
            </w:r>
          </w:p>
        </w:tc>
        <w:tc>
          <w:tcPr>
            <w:tcW w:w="1482" w:type="dxa"/>
            <w:vAlign w:val="center"/>
          </w:tcPr>
          <w:p>
            <w:pPr>
              <w:pStyle w:val="272"/>
              <w:spacing w:line="240" w:lineRule="auto"/>
              <w:rPr>
                <w:color w:val="auto"/>
                <w:highlight w:val="none"/>
              </w:rPr>
            </w:pPr>
            <w:r>
              <w:rPr>
                <w:rFonts w:hint="eastAsia"/>
                <w:color w:val="auto"/>
                <w:highlight w:val="none"/>
              </w:rPr>
              <w:t>1953.3～至今</w:t>
            </w:r>
          </w:p>
        </w:tc>
        <w:tc>
          <w:tcPr>
            <w:tcW w:w="1786" w:type="dxa"/>
            <w:vAlign w:val="center"/>
          </w:tcPr>
          <w:p>
            <w:pPr>
              <w:pStyle w:val="272"/>
              <w:spacing w:line="240" w:lineRule="auto"/>
              <w:rPr>
                <w:color w:val="auto"/>
                <w:highlight w:val="none"/>
              </w:rPr>
            </w:pPr>
            <w:r>
              <w:rPr>
                <w:rFonts w:hint="eastAsia"/>
                <w:color w:val="auto"/>
                <w:highlight w:val="none"/>
              </w:rPr>
              <w:t>1959年起为水库资料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21" w:type="dxa"/>
            <w:vAlign w:val="center"/>
          </w:tcPr>
          <w:p>
            <w:pPr>
              <w:pStyle w:val="272"/>
              <w:spacing w:line="240" w:lineRule="auto"/>
              <w:rPr>
                <w:color w:val="auto"/>
                <w:highlight w:val="none"/>
              </w:rPr>
            </w:pPr>
            <w:r>
              <w:rPr>
                <w:rFonts w:hint="eastAsia"/>
                <w:color w:val="auto"/>
                <w:highlight w:val="none"/>
              </w:rPr>
              <w:t>分田水口</w:t>
            </w:r>
          </w:p>
        </w:tc>
        <w:tc>
          <w:tcPr>
            <w:tcW w:w="1015" w:type="dxa"/>
            <w:vAlign w:val="center"/>
          </w:tcPr>
          <w:p>
            <w:pPr>
              <w:pStyle w:val="272"/>
              <w:spacing w:line="240" w:lineRule="auto"/>
              <w:rPr>
                <w:color w:val="auto"/>
                <w:highlight w:val="none"/>
              </w:rPr>
            </w:pPr>
            <w:r>
              <w:rPr>
                <w:rFonts w:hint="eastAsia"/>
                <w:color w:val="auto"/>
                <w:highlight w:val="none"/>
              </w:rPr>
              <w:t>549</w:t>
            </w:r>
          </w:p>
        </w:tc>
        <w:tc>
          <w:tcPr>
            <w:tcW w:w="1529" w:type="dxa"/>
            <w:vAlign w:val="center"/>
          </w:tcPr>
          <w:p>
            <w:pPr>
              <w:pStyle w:val="272"/>
              <w:spacing w:line="240" w:lineRule="auto"/>
              <w:rPr>
                <w:color w:val="auto"/>
                <w:highlight w:val="none"/>
              </w:rPr>
            </w:pPr>
            <w:r>
              <w:rPr>
                <w:rFonts w:hint="eastAsia"/>
                <w:color w:val="auto"/>
                <w:highlight w:val="none"/>
              </w:rPr>
              <w:t>1955.4～1958.12</w:t>
            </w:r>
          </w:p>
        </w:tc>
        <w:tc>
          <w:tcPr>
            <w:tcW w:w="1689" w:type="dxa"/>
            <w:vAlign w:val="center"/>
          </w:tcPr>
          <w:p>
            <w:pPr>
              <w:pStyle w:val="272"/>
              <w:spacing w:line="240" w:lineRule="auto"/>
              <w:rPr>
                <w:color w:val="auto"/>
                <w:highlight w:val="none"/>
              </w:rPr>
            </w:pPr>
            <w:r>
              <w:rPr>
                <w:rFonts w:hint="eastAsia"/>
                <w:color w:val="auto"/>
                <w:highlight w:val="none"/>
              </w:rPr>
              <w:t>1955.4～1955.12</w:t>
            </w:r>
          </w:p>
        </w:tc>
        <w:tc>
          <w:tcPr>
            <w:tcW w:w="1482" w:type="dxa"/>
            <w:vAlign w:val="center"/>
          </w:tcPr>
          <w:p>
            <w:pPr>
              <w:pStyle w:val="272"/>
              <w:spacing w:line="240" w:lineRule="auto"/>
              <w:rPr>
                <w:color w:val="auto"/>
                <w:highlight w:val="none"/>
              </w:rPr>
            </w:pPr>
          </w:p>
        </w:tc>
        <w:tc>
          <w:tcPr>
            <w:tcW w:w="1786" w:type="dxa"/>
            <w:vAlign w:val="center"/>
          </w:tcPr>
          <w:p>
            <w:pPr>
              <w:pStyle w:val="272"/>
              <w:spacing w:line="240" w:lineRule="auto"/>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21" w:type="dxa"/>
            <w:vAlign w:val="center"/>
          </w:tcPr>
          <w:p>
            <w:pPr>
              <w:pStyle w:val="272"/>
              <w:spacing w:line="240" w:lineRule="auto"/>
              <w:rPr>
                <w:color w:val="auto"/>
                <w:highlight w:val="none"/>
              </w:rPr>
            </w:pPr>
            <w:r>
              <w:rPr>
                <w:rFonts w:hint="eastAsia"/>
                <w:color w:val="auto"/>
                <w:highlight w:val="none"/>
              </w:rPr>
              <w:t>人工湖</w:t>
            </w:r>
          </w:p>
        </w:tc>
        <w:tc>
          <w:tcPr>
            <w:tcW w:w="1015" w:type="dxa"/>
            <w:vAlign w:val="center"/>
          </w:tcPr>
          <w:p>
            <w:pPr>
              <w:pStyle w:val="272"/>
              <w:spacing w:line="240" w:lineRule="auto"/>
              <w:rPr>
                <w:color w:val="auto"/>
                <w:highlight w:val="none"/>
              </w:rPr>
            </w:pPr>
            <w:r>
              <w:rPr>
                <w:rFonts w:hint="eastAsia"/>
                <w:color w:val="auto"/>
                <w:highlight w:val="none"/>
              </w:rPr>
              <w:t>925</w:t>
            </w:r>
          </w:p>
        </w:tc>
        <w:tc>
          <w:tcPr>
            <w:tcW w:w="1529" w:type="dxa"/>
            <w:vAlign w:val="center"/>
          </w:tcPr>
          <w:p>
            <w:pPr>
              <w:pStyle w:val="272"/>
              <w:spacing w:line="240" w:lineRule="auto"/>
              <w:rPr>
                <w:color w:val="auto"/>
                <w:highlight w:val="none"/>
              </w:rPr>
            </w:pPr>
            <w:r>
              <w:rPr>
                <w:rFonts w:hint="eastAsia"/>
                <w:color w:val="auto"/>
                <w:highlight w:val="none"/>
              </w:rPr>
              <w:t>1951.4～1958.12</w:t>
            </w:r>
          </w:p>
        </w:tc>
        <w:tc>
          <w:tcPr>
            <w:tcW w:w="1689" w:type="dxa"/>
            <w:vAlign w:val="center"/>
          </w:tcPr>
          <w:p>
            <w:pPr>
              <w:pStyle w:val="272"/>
              <w:spacing w:line="240" w:lineRule="auto"/>
              <w:rPr>
                <w:color w:val="auto"/>
                <w:highlight w:val="none"/>
              </w:rPr>
            </w:pPr>
            <w:r>
              <w:rPr>
                <w:rFonts w:hint="eastAsia"/>
                <w:color w:val="auto"/>
                <w:highlight w:val="none"/>
              </w:rPr>
              <w:t>1951～1952.4</w:t>
            </w:r>
          </w:p>
        </w:tc>
        <w:tc>
          <w:tcPr>
            <w:tcW w:w="1482" w:type="dxa"/>
            <w:vAlign w:val="center"/>
          </w:tcPr>
          <w:p>
            <w:pPr>
              <w:pStyle w:val="272"/>
              <w:spacing w:line="240" w:lineRule="auto"/>
              <w:rPr>
                <w:color w:val="auto"/>
                <w:highlight w:val="none"/>
              </w:rPr>
            </w:pPr>
            <w:r>
              <w:rPr>
                <w:rFonts w:hint="eastAsia"/>
                <w:color w:val="auto"/>
                <w:highlight w:val="none"/>
              </w:rPr>
              <w:t>1952.1～至今</w:t>
            </w:r>
          </w:p>
        </w:tc>
        <w:tc>
          <w:tcPr>
            <w:tcW w:w="1786" w:type="dxa"/>
            <w:vAlign w:val="center"/>
          </w:tcPr>
          <w:p>
            <w:pPr>
              <w:pStyle w:val="272"/>
              <w:spacing w:line="240" w:lineRule="auto"/>
              <w:rPr>
                <w:color w:val="auto"/>
                <w:highlight w:val="none"/>
              </w:rPr>
            </w:pPr>
            <w:r>
              <w:rPr>
                <w:rFonts w:hint="eastAsia"/>
                <w:color w:val="auto"/>
                <w:highlight w:val="none"/>
              </w:rPr>
              <w:t>1959年建坝后观测至今(闸上水位)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21" w:type="dxa"/>
            <w:vAlign w:val="center"/>
          </w:tcPr>
          <w:p>
            <w:pPr>
              <w:pStyle w:val="272"/>
              <w:spacing w:line="240" w:lineRule="auto"/>
              <w:rPr>
                <w:color w:val="auto"/>
                <w:highlight w:val="none"/>
              </w:rPr>
            </w:pPr>
            <w:r>
              <w:rPr>
                <w:rFonts w:hint="eastAsia"/>
                <w:color w:val="auto"/>
                <w:highlight w:val="none"/>
              </w:rPr>
              <w:t>大坳坝</w:t>
            </w:r>
          </w:p>
        </w:tc>
        <w:tc>
          <w:tcPr>
            <w:tcW w:w="1015" w:type="dxa"/>
            <w:vAlign w:val="center"/>
          </w:tcPr>
          <w:p>
            <w:pPr>
              <w:pStyle w:val="272"/>
              <w:spacing w:line="240" w:lineRule="auto"/>
              <w:rPr>
                <w:color w:val="auto"/>
                <w:highlight w:val="none"/>
              </w:rPr>
            </w:pPr>
            <w:r>
              <w:rPr>
                <w:rFonts w:hint="eastAsia"/>
                <w:color w:val="auto"/>
                <w:highlight w:val="none"/>
              </w:rPr>
              <w:t>1429</w:t>
            </w:r>
          </w:p>
        </w:tc>
        <w:tc>
          <w:tcPr>
            <w:tcW w:w="1529" w:type="dxa"/>
            <w:vAlign w:val="center"/>
          </w:tcPr>
          <w:p>
            <w:pPr>
              <w:pStyle w:val="272"/>
              <w:spacing w:line="240" w:lineRule="auto"/>
              <w:rPr>
                <w:color w:val="auto"/>
                <w:highlight w:val="none"/>
              </w:rPr>
            </w:pPr>
            <w:r>
              <w:rPr>
                <w:rFonts w:hint="eastAsia"/>
                <w:color w:val="auto"/>
                <w:highlight w:val="none"/>
              </w:rPr>
              <w:t>1977～至今</w:t>
            </w:r>
          </w:p>
        </w:tc>
        <w:tc>
          <w:tcPr>
            <w:tcW w:w="1689" w:type="dxa"/>
            <w:vAlign w:val="center"/>
          </w:tcPr>
          <w:p>
            <w:pPr>
              <w:pStyle w:val="272"/>
              <w:spacing w:line="240" w:lineRule="auto"/>
              <w:rPr>
                <w:color w:val="auto"/>
                <w:highlight w:val="none"/>
              </w:rPr>
            </w:pPr>
            <w:r>
              <w:rPr>
                <w:rFonts w:hint="eastAsia"/>
                <w:color w:val="auto"/>
                <w:highlight w:val="none"/>
              </w:rPr>
              <w:t>1977～至今</w:t>
            </w:r>
          </w:p>
        </w:tc>
        <w:tc>
          <w:tcPr>
            <w:tcW w:w="1482" w:type="dxa"/>
            <w:vAlign w:val="center"/>
          </w:tcPr>
          <w:p>
            <w:pPr>
              <w:pStyle w:val="272"/>
              <w:spacing w:line="240" w:lineRule="auto"/>
              <w:rPr>
                <w:color w:val="auto"/>
                <w:highlight w:val="none"/>
              </w:rPr>
            </w:pPr>
            <w:r>
              <w:rPr>
                <w:rFonts w:hint="eastAsia"/>
                <w:color w:val="auto"/>
                <w:highlight w:val="none"/>
              </w:rPr>
              <w:t>1960～至今</w:t>
            </w:r>
          </w:p>
        </w:tc>
        <w:tc>
          <w:tcPr>
            <w:tcW w:w="1786" w:type="dxa"/>
            <w:vAlign w:val="center"/>
          </w:tcPr>
          <w:p>
            <w:pPr>
              <w:pStyle w:val="272"/>
              <w:spacing w:line="240" w:lineRule="auto"/>
              <w:rPr>
                <w:color w:val="auto"/>
                <w:highlight w:val="none"/>
              </w:rPr>
            </w:pPr>
            <w:r>
              <w:rPr>
                <w:rFonts w:hint="eastAsia"/>
                <w:color w:val="auto"/>
                <w:highlight w:val="none"/>
              </w:rPr>
              <w:t>闸上水位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21" w:type="dxa"/>
            <w:vAlign w:val="center"/>
          </w:tcPr>
          <w:p>
            <w:pPr>
              <w:pStyle w:val="272"/>
              <w:spacing w:line="240" w:lineRule="auto"/>
              <w:rPr>
                <w:color w:val="auto"/>
                <w:highlight w:val="none"/>
              </w:rPr>
            </w:pPr>
            <w:r>
              <w:rPr>
                <w:rFonts w:hint="eastAsia"/>
                <w:color w:val="auto"/>
                <w:highlight w:val="none"/>
              </w:rPr>
              <w:t>牛心岭</w:t>
            </w:r>
          </w:p>
        </w:tc>
        <w:tc>
          <w:tcPr>
            <w:tcW w:w="1015" w:type="dxa"/>
            <w:vAlign w:val="center"/>
          </w:tcPr>
          <w:p>
            <w:pPr>
              <w:pStyle w:val="272"/>
              <w:spacing w:line="240" w:lineRule="auto"/>
              <w:rPr>
                <w:color w:val="auto"/>
                <w:highlight w:val="none"/>
              </w:rPr>
            </w:pPr>
            <w:r>
              <w:rPr>
                <w:rFonts w:hint="eastAsia"/>
                <w:color w:val="auto"/>
                <w:highlight w:val="none"/>
              </w:rPr>
              <w:t>1551</w:t>
            </w:r>
          </w:p>
        </w:tc>
        <w:tc>
          <w:tcPr>
            <w:tcW w:w="1529" w:type="dxa"/>
            <w:vAlign w:val="center"/>
          </w:tcPr>
          <w:p>
            <w:pPr>
              <w:pStyle w:val="272"/>
              <w:spacing w:line="240" w:lineRule="auto"/>
              <w:rPr>
                <w:color w:val="auto"/>
                <w:highlight w:val="none"/>
              </w:rPr>
            </w:pPr>
            <w:r>
              <w:rPr>
                <w:rFonts w:hint="eastAsia"/>
                <w:color w:val="auto"/>
                <w:highlight w:val="none"/>
              </w:rPr>
              <w:t>1952.4～1975.12</w:t>
            </w:r>
          </w:p>
        </w:tc>
        <w:tc>
          <w:tcPr>
            <w:tcW w:w="1689" w:type="dxa"/>
            <w:vAlign w:val="center"/>
          </w:tcPr>
          <w:p>
            <w:pPr>
              <w:pStyle w:val="272"/>
              <w:spacing w:line="240" w:lineRule="auto"/>
              <w:rPr>
                <w:color w:val="auto"/>
                <w:highlight w:val="none"/>
              </w:rPr>
            </w:pPr>
            <w:r>
              <w:rPr>
                <w:rFonts w:hint="eastAsia"/>
                <w:color w:val="auto"/>
                <w:highlight w:val="none"/>
              </w:rPr>
              <w:t>1952.4～1964.4</w:t>
            </w:r>
          </w:p>
        </w:tc>
        <w:tc>
          <w:tcPr>
            <w:tcW w:w="1482" w:type="dxa"/>
            <w:vAlign w:val="center"/>
          </w:tcPr>
          <w:p>
            <w:pPr>
              <w:pStyle w:val="272"/>
              <w:spacing w:line="240" w:lineRule="auto"/>
              <w:rPr>
                <w:color w:val="auto"/>
                <w:highlight w:val="none"/>
              </w:rPr>
            </w:pPr>
            <w:r>
              <w:rPr>
                <w:rFonts w:hint="eastAsia"/>
                <w:color w:val="auto"/>
                <w:highlight w:val="none"/>
              </w:rPr>
              <w:t>1953～1976</w:t>
            </w:r>
          </w:p>
        </w:tc>
        <w:tc>
          <w:tcPr>
            <w:tcW w:w="1786" w:type="dxa"/>
            <w:vAlign w:val="center"/>
          </w:tcPr>
          <w:p>
            <w:pPr>
              <w:pStyle w:val="272"/>
              <w:spacing w:line="240" w:lineRule="auto"/>
              <w:rPr>
                <w:color w:val="auto"/>
                <w:highlight w:val="none"/>
              </w:rPr>
            </w:pPr>
            <w:r>
              <w:rPr>
                <w:rFonts w:hint="eastAsia"/>
                <w:color w:val="auto"/>
                <w:highlight w:val="none"/>
              </w:rPr>
              <w:t>从1976年迁太平场，停止水位观测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21" w:type="dxa"/>
            <w:vAlign w:val="center"/>
          </w:tcPr>
          <w:p>
            <w:pPr>
              <w:pStyle w:val="272"/>
              <w:spacing w:line="240" w:lineRule="auto"/>
              <w:rPr>
                <w:color w:val="auto"/>
                <w:highlight w:val="none"/>
              </w:rPr>
            </w:pPr>
            <w:r>
              <w:rPr>
                <w:rFonts w:hint="eastAsia"/>
                <w:color w:val="auto"/>
                <w:highlight w:val="none"/>
              </w:rPr>
              <w:t>太平场</w:t>
            </w:r>
          </w:p>
        </w:tc>
        <w:tc>
          <w:tcPr>
            <w:tcW w:w="1015" w:type="dxa"/>
            <w:vAlign w:val="center"/>
          </w:tcPr>
          <w:p>
            <w:pPr>
              <w:pStyle w:val="272"/>
              <w:spacing w:line="240" w:lineRule="auto"/>
              <w:rPr>
                <w:color w:val="auto"/>
                <w:highlight w:val="none"/>
              </w:rPr>
            </w:pPr>
            <w:r>
              <w:rPr>
                <w:rFonts w:hint="eastAsia"/>
                <w:color w:val="auto"/>
                <w:highlight w:val="none"/>
              </w:rPr>
              <w:t>1574</w:t>
            </w:r>
          </w:p>
        </w:tc>
        <w:tc>
          <w:tcPr>
            <w:tcW w:w="1529" w:type="dxa"/>
            <w:vAlign w:val="center"/>
          </w:tcPr>
          <w:p>
            <w:pPr>
              <w:pStyle w:val="272"/>
              <w:spacing w:line="240" w:lineRule="auto"/>
              <w:rPr>
                <w:color w:val="auto"/>
                <w:highlight w:val="none"/>
              </w:rPr>
            </w:pPr>
            <w:r>
              <w:rPr>
                <w:rFonts w:hint="eastAsia"/>
                <w:color w:val="auto"/>
                <w:highlight w:val="none"/>
              </w:rPr>
              <w:t>1975.1～至今</w:t>
            </w:r>
          </w:p>
        </w:tc>
        <w:tc>
          <w:tcPr>
            <w:tcW w:w="1689" w:type="dxa"/>
            <w:vAlign w:val="center"/>
          </w:tcPr>
          <w:p>
            <w:pPr>
              <w:pStyle w:val="272"/>
              <w:spacing w:line="240" w:lineRule="auto"/>
              <w:rPr>
                <w:color w:val="auto"/>
                <w:highlight w:val="none"/>
              </w:rPr>
            </w:pPr>
            <w:r>
              <w:rPr>
                <w:rFonts w:hint="eastAsia"/>
                <w:color w:val="auto"/>
                <w:highlight w:val="none"/>
              </w:rPr>
              <w:t>1953～1959</w:t>
            </w:r>
          </w:p>
        </w:tc>
        <w:tc>
          <w:tcPr>
            <w:tcW w:w="1482" w:type="dxa"/>
            <w:vAlign w:val="center"/>
          </w:tcPr>
          <w:p>
            <w:pPr>
              <w:pStyle w:val="272"/>
              <w:spacing w:line="240" w:lineRule="auto"/>
              <w:rPr>
                <w:color w:val="auto"/>
                <w:highlight w:val="none"/>
              </w:rPr>
            </w:pPr>
            <w:r>
              <w:rPr>
                <w:rFonts w:hint="eastAsia"/>
                <w:color w:val="auto"/>
                <w:highlight w:val="none"/>
              </w:rPr>
              <w:t>1975～至今</w:t>
            </w:r>
          </w:p>
        </w:tc>
        <w:tc>
          <w:tcPr>
            <w:tcW w:w="1786" w:type="dxa"/>
            <w:vAlign w:val="center"/>
          </w:tcPr>
          <w:p>
            <w:pPr>
              <w:pStyle w:val="272"/>
              <w:spacing w:line="240" w:lineRule="auto"/>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21" w:type="dxa"/>
            <w:vAlign w:val="center"/>
          </w:tcPr>
          <w:p>
            <w:pPr>
              <w:pStyle w:val="272"/>
              <w:spacing w:line="240" w:lineRule="auto"/>
              <w:rPr>
                <w:color w:val="auto"/>
                <w:highlight w:val="none"/>
              </w:rPr>
            </w:pPr>
            <w:r>
              <w:rPr>
                <w:rFonts w:hint="eastAsia"/>
                <w:color w:val="auto"/>
                <w:highlight w:val="none"/>
              </w:rPr>
              <w:t>李溪</w:t>
            </w:r>
          </w:p>
        </w:tc>
        <w:tc>
          <w:tcPr>
            <w:tcW w:w="1015" w:type="dxa"/>
            <w:vAlign w:val="center"/>
          </w:tcPr>
          <w:p>
            <w:pPr>
              <w:pStyle w:val="272"/>
              <w:spacing w:line="240" w:lineRule="auto"/>
              <w:rPr>
                <w:color w:val="auto"/>
                <w:highlight w:val="none"/>
              </w:rPr>
            </w:pPr>
            <w:r>
              <w:rPr>
                <w:rFonts w:hint="eastAsia"/>
                <w:color w:val="auto"/>
                <w:highlight w:val="none"/>
              </w:rPr>
              <w:t>1930</w:t>
            </w:r>
          </w:p>
        </w:tc>
        <w:tc>
          <w:tcPr>
            <w:tcW w:w="1529" w:type="dxa"/>
            <w:vAlign w:val="center"/>
          </w:tcPr>
          <w:p>
            <w:pPr>
              <w:pStyle w:val="272"/>
              <w:spacing w:line="240" w:lineRule="auto"/>
              <w:rPr>
                <w:color w:val="auto"/>
                <w:highlight w:val="none"/>
              </w:rPr>
            </w:pPr>
            <w:r>
              <w:rPr>
                <w:rFonts w:hint="eastAsia"/>
                <w:color w:val="auto"/>
                <w:highlight w:val="none"/>
              </w:rPr>
              <w:t>1971～至今</w:t>
            </w:r>
          </w:p>
        </w:tc>
        <w:tc>
          <w:tcPr>
            <w:tcW w:w="1689" w:type="dxa"/>
            <w:vAlign w:val="center"/>
          </w:tcPr>
          <w:p>
            <w:pPr>
              <w:pStyle w:val="272"/>
              <w:spacing w:line="240" w:lineRule="auto"/>
              <w:rPr>
                <w:color w:val="auto"/>
                <w:highlight w:val="none"/>
              </w:rPr>
            </w:pPr>
            <w:r>
              <w:rPr>
                <w:rFonts w:hint="eastAsia"/>
                <w:color w:val="auto"/>
                <w:highlight w:val="none"/>
              </w:rPr>
              <w:t>1971～至今</w:t>
            </w:r>
          </w:p>
        </w:tc>
        <w:tc>
          <w:tcPr>
            <w:tcW w:w="1482" w:type="dxa"/>
            <w:vAlign w:val="center"/>
          </w:tcPr>
          <w:p>
            <w:pPr>
              <w:pStyle w:val="272"/>
              <w:spacing w:line="240" w:lineRule="auto"/>
              <w:rPr>
                <w:color w:val="auto"/>
                <w:highlight w:val="none"/>
              </w:rPr>
            </w:pPr>
            <w:r>
              <w:rPr>
                <w:rFonts w:hint="eastAsia"/>
                <w:color w:val="auto"/>
                <w:highlight w:val="none"/>
              </w:rPr>
              <w:t>1971～至今</w:t>
            </w:r>
          </w:p>
        </w:tc>
        <w:tc>
          <w:tcPr>
            <w:tcW w:w="1786" w:type="dxa"/>
            <w:vAlign w:val="center"/>
          </w:tcPr>
          <w:p>
            <w:pPr>
              <w:pStyle w:val="272"/>
              <w:spacing w:line="240" w:lineRule="auto"/>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21" w:type="dxa"/>
            <w:vAlign w:val="center"/>
          </w:tcPr>
          <w:p>
            <w:pPr>
              <w:pStyle w:val="272"/>
              <w:spacing w:line="240" w:lineRule="auto"/>
              <w:rPr>
                <w:color w:val="auto"/>
                <w:highlight w:val="none"/>
              </w:rPr>
            </w:pPr>
            <w:r>
              <w:rPr>
                <w:rFonts w:hint="eastAsia"/>
                <w:color w:val="auto"/>
                <w:highlight w:val="none"/>
              </w:rPr>
              <w:t>人和坝</w:t>
            </w:r>
          </w:p>
        </w:tc>
        <w:tc>
          <w:tcPr>
            <w:tcW w:w="1015" w:type="dxa"/>
            <w:vAlign w:val="center"/>
          </w:tcPr>
          <w:p>
            <w:pPr>
              <w:pStyle w:val="272"/>
              <w:spacing w:line="240" w:lineRule="auto"/>
              <w:rPr>
                <w:color w:val="auto"/>
                <w:highlight w:val="none"/>
              </w:rPr>
            </w:pPr>
            <w:r>
              <w:rPr>
                <w:rFonts w:hint="eastAsia"/>
                <w:color w:val="auto"/>
                <w:highlight w:val="none"/>
              </w:rPr>
              <w:t>2100</w:t>
            </w:r>
          </w:p>
        </w:tc>
        <w:tc>
          <w:tcPr>
            <w:tcW w:w="1529" w:type="dxa"/>
            <w:vAlign w:val="center"/>
          </w:tcPr>
          <w:p>
            <w:pPr>
              <w:pStyle w:val="272"/>
              <w:spacing w:line="240" w:lineRule="auto"/>
              <w:rPr>
                <w:color w:val="auto"/>
                <w:highlight w:val="none"/>
              </w:rPr>
            </w:pPr>
            <w:r>
              <w:rPr>
                <w:rFonts w:hint="eastAsia"/>
                <w:color w:val="auto"/>
                <w:highlight w:val="none"/>
              </w:rPr>
              <w:t>1989～至今</w:t>
            </w:r>
          </w:p>
        </w:tc>
        <w:tc>
          <w:tcPr>
            <w:tcW w:w="1689" w:type="dxa"/>
            <w:vAlign w:val="center"/>
          </w:tcPr>
          <w:p>
            <w:pPr>
              <w:pStyle w:val="272"/>
              <w:spacing w:line="240" w:lineRule="auto"/>
              <w:rPr>
                <w:color w:val="auto"/>
                <w:highlight w:val="none"/>
              </w:rPr>
            </w:pPr>
            <w:r>
              <w:rPr>
                <w:rFonts w:hint="eastAsia"/>
                <w:color w:val="auto"/>
                <w:highlight w:val="none"/>
              </w:rPr>
              <w:t>1989～至今</w:t>
            </w:r>
          </w:p>
        </w:tc>
        <w:tc>
          <w:tcPr>
            <w:tcW w:w="1482" w:type="dxa"/>
            <w:vAlign w:val="center"/>
          </w:tcPr>
          <w:p>
            <w:pPr>
              <w:pStyle w:val="272"/>
              <w:spacing w:line="240" w:lineRule="auto"/>
              <w:rPr>
                <w:color w:val="auto"/>
                <w:highlight w:val="none"/>
              </w:rPr>
            </w:pPr>
            <w:r>
              <w:rPr>
                <w:rFonts w:hint="eastAsia"/>
                <w:color w:val="auto"/>
                <w:highlight w:val="none"/>
              </w:rPr>
              <w:t>1989～至今</w:t>
            </w:r>
          </w:p>
        </w:tc>
        <w:tc>
          <w:tcPr>
            <w:tcW w:w="1786" w:type="dxa"/>
            <w:vAlign w:val="center"/>
          </w:tcPr>
          <w:p>
            <w:pPr>
              <w:pStyle w:val="272"/>
              <w:spacing w:line="240" w:lineRule="auto"/>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21" w:type="dxa"/>
            <w:vAlign w:val="center"/>
          </w:tcPr>
          <w:p>
            <w:pPr>
              <w:pStyle w:val="272"/>
              <w:spacing w:line="240" w:lineRule="auto"/>
              <w:rPr>
                <w:color w:val="auto"/>
                <w:highlight w:val="none"/>
              </w:rPr>
            </w:pPr>
            <w:r>
              <w:rPr>
                <w:rFonts w:hint="eastAsia"/>
                <w:color w:val="auto"/>
                <w:highlight w:val="none"/>
              </w:rPr>
              <w:t>花都</w:t>
            </w:r>
          </w:p>
        </w:tc>
        <w:tc>
          <w:tcPr>
            <w:tcW w:w="1015" w:type="dxa"/>
            <w:vAlign w:val="center"/>
          </w:tcPr>
          <w:p>
            <w:pPr>
              <w:pStyle w:val="272"/>
              <w:spacing w:line="240" w:lineRule="auto"/>
              <w:rPr>
                <w:color w:val="auto"/>
                <w:highlight w:val="none"/>
              </w:rPr>
            </w:pPr>
          </w:p>
        </w:tc>
        <w:tc>
          <w:tcPr>
            <w:tcW w:w="1529" w:type="dxa"/>
            <w:vAlign w:val="center"/>
          </w:tcPr>
          <w:p>
            <w:pPr>
              <w:pStyle w:val="272"/>
              <w:spacing w:line="240" w:lineRule="auto"/>
              <w:rPr>
                <w:color w:val="auto"/>
                <w:highlight w:val="none"/>
              </w:rPr>
            </w:pPr>
          </w:p>
        </w:tc>
        <w:tc>
          <w:tcPr>
            <w:tcW w:w="1689" w:type="dxa"/>
            <w:vAlign w:val="center"/>
          </w:tcPr>
          <w:p>
            <w:pPr>
              <w:pStyle w:val="272"/>
              <w:spacing w:line="240" w:lineRule="auto"/>
              <w:rPr>
                <w:color w:val="auto"/>
                <w:highlight w:val="none"/>
              </w:rPr>
            </w:pPr>
          </w:p>
        </w:tc>
        <w:tc>
          <w:tcPr>
            <w:tcW w:w="1482" w:type="dxa"/>
            <w:vAlign w:val="center"/>
          </w:tcPr>
          <w:p>
            <w:pPr>
              <w:pStyle w:val="272"/>
              <w:spacing w:line="240" w:lineRule="auto"/>
              <w:rPr>
                <w:color w:val="auto"/>
                <w:highlight w:val="none"/>
              </w:rPr>
            </w:pPr>
            <w:r>
              <w:rPr>
                <w:rFonts w:hint="eastAsia"/>
                <w:color w:val="auto"/>
                <w:highlight w:val="none"/>
              </w:rPr>
              <w:t>1951～至今</w:t>
            </w:r>
          </w:p>
        </w:tc>
        <w:tc>
          <w:tcPr>
            <w:tcW w:w="1786" w:type="dxa"/>
            <w:vAlign w:val="center"/>
          </w:tcPr>
          <w:p>
            <w:pPr>
              <w:pStyle w:val="272"/>
              <w:spacing w:line="240" w:lineRule="auto"/>
              <w:rPr>
                <w:color w:val="auto"/>
                <w:highlight w:val="none"/>
              </w:rPr>
            </w:pPr>
            <w:r>
              <w:rPr>
                <w:rFonts w:hint="eastAsia"/>
                <w:color w:val="auto"/>
                <w:highlight w:val="none"/>
              </w:rPr>
              <w:t>气象站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21" w:type="dxa"/>
            <w:vAlign w:val="center"/>
          </w:tcPr>
          <w:p>
            <w:pPr>
              <w:pStyle w:val="272"/>
              <w:spacing w:line="240" w:lineRule="auto"/>
              <w:rPr>
                <w:color w:val="auto"/>
                <w:highlight w:val="none"/>
              </w:rPr>
            </w:pPr>
            <w:r>
              <w:rPr>
                <w:rFonts w:hint="eastAsia"/>
                <w:color w:val="auto"/>
                <w:highlight w:val="none"/>
              </w:rPr>
              <w:t>从化</w:t>
            </w:r>
          </w:p>
        </w:tc>
        <w:tc>
          <w:tcPr>
            <w:tcW w:w="1015" w:type="dxa"/>
            <w:vAlign w:val="center"/>
          </w:tcPr>
          <w:p>
            <w:pPr>
              <w:pStyle w:val="272"/>
              <w:spacing w:line="240" w:lineRule="auto"/>
              <w:rPr>
                <w:color w:val="auto"/>
                <w:highlight w:val="none"/>
              </w:rPr>
            </w:pPr>
          </w:p>
        </w:tc>
        <w:tc>
          <w:tcPr>
            <w:tcW w:w="1529" w:type="dxa"/>
            <w:vAlign w:val="center"/>
          </w:tcPr>
          <w:p>
            <w:pPr>
              <w:pStyle w:val="272"/>
              <w:spacing w:line="240" w:lineRule="auto"/>
              <w:rPr>
                <w:color w:val="auto"/>
                <w:highlight w:val="none"/>
              </w:rPr>
            </w:pPr>
          </w:p>
        </w:tc>
        <w:tc>
          <w:tcPr>
            <w:tcW w:w="1689" w:type="dxa"/>
            <w:vAlign w:val="center"/>
          </w:tcPr>
          <w:p>
            <w:pPr>
              <w:pStyle w:val="272"/>
              <w:spacing w:line="240" w:lineRule="auto"/>
              <w:rPr>
                <w:color w:val="auto"/>
                <w:highlight w:val="none"/>
              </w:rPr>
            </w:pPr>
          </w:p>
        </w:tc>
        <w:tc>
          <w:tcPr>
            <w:tcW w:w="1482" w:type="dxa"/>
            <w:vAlign w:val="center"/>
          </w:tcPr>
          <w:p>
            <w:pPr>
              <w:pStyle w:val="272"/>
              <w:spacing w:line="240" w:lineRule="auto"/>
              <w:rPr>
                <w:color w:val="auto"/>
                <w:highlight w:val="none"/>
              </w:rPr>
            </w:pPr>
            <w:r>
              <w:rPr>
                <w:rFonts w:hint="eastAsia"/>
                <w:color w:val="auto"/>
                <w:highlight w:val="none"/>
              </w:rPr>
              <w:t>1951～至今</w:t>
            </w:r>
          </w:p>
        </w:tc>
        <w:tc>
          <w:tcPr>
            <w:tcW w:w="1786" w:type="dxa"/>
            <w:vAlign w:val="center"/>
          </w:tcPr>
          <w:p>
            <w:pPr>
              <w:pStyle w:val="272"/>
              <w:spacing w:line="240" w:lineRule="auto"/>
              <w:rPr>
                <w:color w:val="auto"/>
                <w:highlight w:val="none"/>
              </w:rPr>
            </w:pPr>
            <w:r>
              <w:rPr>
                <w:rFonts w:hint="eastAsia"/>
                <w:color w:val="auto"/>
                <w:highlight w:val="none"/>
              </w:rPr>
              <w:t>气象站</w:t>
            </w:r>
          </w:p>
        </w:tc>
      </w:tr>
    </w:tbl>
    <w:p>
      <w:pPr>
        <w:pStyle w:val="3"/>
        <w:rPr>
          <w:b/>
          <w:color w:val="auto"/>
          <w:highlight w:val="none"/>
        </w:rPr>
      </w:pPr>
      <w:bookmarkStart w:id="133" w:name="_Toc536295053"/>
      <w:bookmarkStart w:id="134" w:name="_Toc513816895"/>
      <w:bookmarkStart w:id="135" w:name="_Toc22556"/>
      <w:r>
        <w:rPr>
          <w:rFonts w:hint="eastAsia"/>
          <w:color w:val="auto"/>
          <w:highlight w:val="none"/>
        </w:rPr>
        <w:t>2</w:t>
      </w:r>
      <w:r>
        <w:rPr>
          <w:color w:val="auto"/>
          <w:highlight w:val="none"/>
        </w:rPr>
        <w:t xml:space="preserve">.4 </w:t>
      </w:r>
      <w:r>
        <w:rPr>
          <w:rFonts w:hint="eastAsia"/>
          <w:color w:val="auto"/>
          <w:highlight w:val="none"/>
        </w:rPr>
        <w:t>径流</w:t>
      </w:r>
      <w:bookmarkEnd w:id="133"/>
      <w:bookmarkEnd w:id="134"/>
      <w:bookmarkEnd w:id="135"/>
    </w:p>
    <w:p>
      <w:pPr>
        <w:pStyle w:val="335"/>
        <w:spacing w:before="120" w:after="120"/>
        <w:rPr>
          <w:color w:val="auto"/>
          <w:highlight w:val="none"/>
        </w:rPr>
      </w:pPr>
      <w:r>
        <w:rPr>
          <w:color w:val="auto"/>
          <w:highlight w:val="none"/>
        </w:rPr>
        <w:t xml:space="preserve">2.4.1 </w:t>
      </w:r>
      <w:r>
        <w:rPr>
          <w:rFonts w:hint="eastAsia"/>
          <w:color w:val="auto"/>
          <w:highlight w:val="none"/>
        </w:rPr>
        <w:t>径流特性</w:t>
      </w:r>
    </w:p>
    <w:p>
      <w:pPr>
        <w:ind w:firstLine="480"/>
        <w:rPr>
          <w:color w:val="auto"/>
          <w:highlight w:val="none"/>
        </w:rPr>
      </w:pPr>
      <w:r>
        <w:rPr>
          <w:rFonts w:hint="eastAsia"/>
          <w:color w:val="auto"/>
          <w:highlight w:val="none"/>
        </w:rPr>
        <w:t>据《</w:t>
      </w:r>
      <w:r>
        <w:rPr>
          <w:rFonts w:hint="eastAsia"/>
          <w:color w:val="auto"/>
          <w:highlight w:val="none"/>
          <w:lang w:eastAsia="zh-CN"/>
        </w:rPr>
        <w:t>广州从化市水系规划总报告</w:t>
      </w:r>
      <w:r>
        <w:rPr>
          <w:rFonts w:hint="eastAsia"/>
          <w:color w:val="auto"/>
          <w:highlight w:val="none"/>
        </w:rPr>
        <w:t>》（2009年07月），流溪河流域面积2300k</w:t>
      </w:r>
      <w:r>
        <w:rPr>
          <w:rFonts w:hint="eastAsia"/>
          <w:color w:val="auto"/>
          <w:highlight w:val="none"/>
          <w:lang w:eastAsia="zh-CN"/>
        </w:rPr>
        <w:t>m²</w:t>
      </w:r>
      <w:r>
        <w:rPr>
          <w:rFonts w:hint="eastAsia"/>
          <w:color w:val="auto"/>
          <w:highlight w:val="none"/>
        </w:rPr>
        <w:t>，在从化区以上流域面积1574k</w:t>
      </w:r>
      <w:r>
        <w:rPr>
          <w:rFonts w:hint="eastAsia"/>
          <w:color w:val="auto"/>
          <w:highlight w:val="none"/>
          <w:lang w:eastAsia="zh-CN"/>
        </w:rPr>
        <w:t>m²</w:t>
      </w:r>
      <w:r>
        <w:rPr>
          <w:rFonts w:hint="eastAsia"/>
          <w:color w:val="auto"/>
          <w:highlight w:val="none"/>
        </w:rPr>
        <w:t>，河长127km。从化境内流溪河年径流量20.75亿</w:t>
      </w:r>
      <w:r>
        <w:rPr>
          <w:rFonts w:hint="eastAsia"/>
          <w:color w:val="auto"/>
          <w:highlight w:val="none"/>
          <w:lang w:eastAsia="zh-CN"/>
        </w:rPr>
        <w:t>m³</w:t>
      </w:r>
      <w:r>
        <w:rPr>
          <w:rFonts w:hint="eastAsia"/>
          <w:color w:val="auto"/>
          <w:highlight w:val="none"/>
        </w:rPr>
        <w:t>。流溪河流域年径流的空间分布与降水相似，东北高西南低，流域上游山区为产流高区，多年平均径流深变化范围在1000mm~1400mm之间。</w:t>
      </w:r>
    </w:p>
    <w:p>
      <w:pPr>
        <w:ind w:firstLine="480"/>
        <w:rPr>
          <w:color w:val="auto"/>
          <w:highlight w:val="none"/>
        </w:rPr>
      </w:pPr>
      <w:r>
        <w:rPr>
          <w:rFonts w:hint="eastAsia"/>
          <w:color w:val="auto"/>
          <w:highlight w:val="none"/>
        </w:rPr>
        <w:t>工程区域内地表径流主要来自降水，主要径流来自5月～9月间的暴雨，占全年降雨量的83%。流域植被良好，基流较丰沛，枯水季节2～3个月无降雨时各小支流仍可见少量流水。工程自</w:t>
      </w:r>
      <w:r>
        <w:rPr>
          <w:color w:val="auto"/>
          <w:highlight w:val="none"/>
        </w:rPr>
        <w:t>人工湖拦河坝处引水，</w:t>
      </w:r>
      <w:r>
        <w:rPr>
          <w:rFonts w:hint="eastAsia"/>
          <w:color w:val="auto"/>
          <w:highlight w:val="none"/>
        </w:rPr>
        <w:t>坝址以上</w:t>
      </w:r>
      <w:r>
        <w:rPr>
          <w:color w:val="auto"/>
          <w:highlight w:val="none"/>
        </w:rPr>
        <w:t>集水面积</w:t>
      </w:r>
      <w:r>
        <w:rPr>
          <w:rFonts w:hint="eastAsia"/>
          <w:color w:val="auto"/>
          <w:highlight w:val="none"/>
        </w:rPr>
        <w:t>9</w:t>
      </w:r>
      <w:r>
        <w:rPr>
          <w:color w:val="auto"/>
          <w:highlight w:val="none"/>
        </w:rPr>
        <w:t>25k</w:t>
      </w:r>
      <w:r>
        <w:rPr>
          <w:rFonts w:hint="eastAsia"/>
          <w:color w:val="auto"/>
          <w:highlight w:val="none"/>
          <w:lang w:eastAsia="zh-CN"/>
        </w:rPr>
        <w:t>m²</w:t>
      </w:r>
      <w:r>
        <w:rPr>
          <w:color w:val="auto"/>
          <w:highlight w:val="none"/>
        </w:rPr>
        <w:t>，</w:t>
      </w:r>
      <w:r>
        <w:rPr>
          <w:rFonts w:hint="eastAsia"/>
          <w:color w:val="auto"/>
          <w:highlight w:val="none"/>
        </w:rPr>
        <w:t>所在位置以上流溪河流域内人口稀少，人类活动影响很小，无跨流域调水工程。</w:t>
      </w:r>
    </w:p>
    <w:p>
      <w:pPr>
        <w:pStyle w:val="335"/>
        <w:spacing w:before="120" w:after="120"/>
        <w:rPr>
          <w:color w:val="auto"/>
          <w:highlight w:val="none"/>
        </w:rPr>
      </w:pPr>
      <w:bookmarkStart w:id="136" w:name="_Toc536295055"/>
      <w:r>
        <w:rPr>
          <w:color w:val="auto"/>
          <w:highlight w:val="none"/>
        </w:rPr>
        <w:t>2</w:t>
      </w:r>
      <w:r>
        <w:rPr>
          <w:rFonts w:hint="eastAsia"/>
          <w:color w:val="auto"/>
          <w:highlight w:val="none"/>
        </w:rPr>
        <w:t>.4.2 径流</w:t>
      </w:r>
      <w:bookmarkEnd w:id="136"/>
      <w:r>
        <w:rPr>
          <w:rFonts w:hint="eastAsia"/>
          <w:color w:val="auto"/>
          <w:highlight w:val="none"/>
        </w:rPr>
        <w:t>分析计算</w:t>
      </w:r>
    </w:p>
    <w:p>
      <w:pPr>
        <w:ind w:firstLine="480"/>
        <w:rPr>
          <w:color w:val="auto"/>
          <w:highlight w:val="none"/>
        </w:rPr>
      </w:pPr>
      <w:r>
        <w:rPr>
          <w:rFonts w:hint="eastAsia"/>
          <w:color w:val="auto"/>
          <w:highlight w:val="none"/>
        </w:rPr>
        <w:t>（1）由街口</w:t>
      </w:r>
      <w:r>
        <w:rPr>
          <w:color w:val="auto"/>
          <w:highlight w:val="none"/>
        </w:rPr>
        <w:t>雨量站</w:t>
      </w:r>
      <w:r>
        <w:rPr>
          <w:rFonts w:hint="eastAsia"/>
          <w:color w:val="auto"/>
          <w:highlight w:val="none"/>
        </w:rPr>
        <w:t>推求人工湖坝</w:t>
      </w:r>
      <w:r>
        <w:rPr>
          <w:color w:val="auto"/>
          <w:highlight w:val="none"/>
        </w:rPr>
        <w:t>坝址处设计年径流</w:t>
      </w:r>
    </w:p>
    <w:p>
      <w:pPr>
        <w:ind w:firstLine="480"/>
        <w:rPr>
          <w:rFonts w:hint="eastAsia"/>
          <w:color w:val="auto"/>
          <w:highlight w:val="none"/>
        </w:rPr>
      </w:pPr>
      <w:r>
        <w:rPr>
          <w:rFonts w:hint="eastAsia"/>
          <w:color w:val="auto"/>
          <w:highlight w:val="none"/>
        </w:rPr>
        <w:t>本次水文计算选择街口站1970~2012年共43年实测降雨资料进行水文分析，推求设计径流。排频计算如下所示。</w:t>
      </w:r>
    </w:p>
    <w:p>
      <w:pPr>
        <w:pStyle w:val="264"/>
        <w:numPr>
          <w:ilvl w:val="4"/>
          <w:numId w:val="0"/>
        </w:numPr>
        <w:spacing w:line="240" w:lineRule="auto"/>
        <w:ind w:left="480" w:leftChars="0"/>
        <w:jc w:val="center"/>
        <w:rPr>
          <w:rFonts w:ascii="宋体" w:hAnsi="宋体" w:eastAsia="黑体"/>
          <w:b w:val="0"/>
          <w:color w:val="auto"/>
          <w:highlight w:val="none"/>
        </w:rPr>
      </w:pPr>
      <w:r>
        <w:rPr>
          <w:rFonts w:hint="eastAsia" w:ascii="宋体" w:hAnsi="宋体" w:eastAsia="黑体"/>
          <w:b w:val="0"/>
          <w:color w:val="auto"/>
          <w:highlight w:val="none"/>
          <w:lang w:eastAsia="zh-CN"/>
        </w:rPr>
        <w:t>表</w:t>
      </w:r>
      <w:r>
        <w:rPr>
          <w:rFonts w:hint="eastAsia" w:ascii="宋体" w:hAnsi="宋体" w:eastAsia="黑体"/>
          <w:b w:val="0"/>
          <w:color w:val="auto"/>
          <w:highlight w:val="none"/>
          <w:lang w:val="en-US" w:eastAsia="zh-CN"/>
        </w:rPr>
        <w:t xml:space="preserve">2-2 </w:t>
      </w:r>
      <w:r>
        <w:rPr>
          <w:rFonts w:hint="eastAsia" w:ascii="宋体" w:hAnsi="宋体" w:eastAsia="黑体"/>
          <w:b w:val="0"/>
          <w:color w:val="auto"/>
          <w:highlight w:val="none"/>
        </w:rPr>
        <w:t>年降雨量经验频率计算表</w:t>
      </w:r>
    </w:p>
    <w:tbl>
      <w:tblPr>
        <w:tblStyle w:val="47"/>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7"/>
        <w:gridCol w:w="656"/>
        <w:gridCol w:w="1861"/>
        <w:gridCol w:w="2175"/>
        <w:gridCol w:w="1090"/>
        <w:gridCol w:w="20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blHeader/>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序号</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年份</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年降雨量（mm）</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由大到小排列降雨量</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对应年份</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P=m/（n+1）*100%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1</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1970</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1998.1</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2728.3</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1983</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2.27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2</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1971</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1885.5</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2666.1</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1993</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4.55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3</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1972</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1842.3</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2403.9</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2006</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6.82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4</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1973</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2336.9</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2336.9</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1973</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9.09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5</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1974</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1815.4</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2333.3</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2008</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11.36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6</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1975</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2275.3</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2299.7</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1997</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13.64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7</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1976</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1451.9</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2275.3</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1975</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15.91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8</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1977</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1686.8</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2176.3</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2010</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18.18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9</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1978</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1511.4</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2172.8</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1992</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20.45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10</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1979</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1869.2</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2166.5</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1987</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22.73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11</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1980</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1916.9</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2166.2</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1981</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12</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1981</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2166.2</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2129.3</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1988</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27.27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13</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1982</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1812.3</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2054.8</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2002</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29.55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14</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1983</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2728.3</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2052.7</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2001</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31.82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15</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1984</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1795.5</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2020</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1994</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34.09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16</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1985</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1753.9</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2004.2</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2005</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36.36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17</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1986</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1735.7</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1998.1</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1970</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38.64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18</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1987</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2166.5</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1934</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2012</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40.91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19</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1988</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2129.3</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1916.9</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1980</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43.18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20</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1989</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1622.3</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1897.1</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2000</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45.45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21</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1990</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1539.8</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1887</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1995</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47.73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22</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1991</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1305.3</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1885.5</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1971</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23</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1992</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2172.8</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1881.2</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1998</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52.27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24</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1993</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2666.1</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1869.2</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1979</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54.55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25</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1994</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2020</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1842.3</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1972</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56.82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26</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1995</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1887</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1815.4</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1974</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59.09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27</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1996</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1519.8</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1812.3</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1982</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61.36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28</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1997</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2299.7</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1802.2</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1999</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63.64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29</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1998</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1881.2</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1795.5</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1984</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65.91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30</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1999</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1802.2</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1753.9</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1985</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68.18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31</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2000</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1897.1</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1735.7</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1986</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70.45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32</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2001</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2052.7</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1721.5</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2007</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72.73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33</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2002</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2054.8</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1686.8</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1977</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34</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2003</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1548.2</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1622.3</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1989</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77.27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35</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2004</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1473.9</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1548.2</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2003</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79.55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36</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2005</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2004.2</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1539.8</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1990</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81.82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37</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2006</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2403.9</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1519.8</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1996</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84.09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38</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2007</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1721.5</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1511.4</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1978</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86.36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39</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2008</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2333.3</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1489.3</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2009</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88.64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40</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2009</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1489.3</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1473.9</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2004</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90.91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41</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2010</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2176.3</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1451.9</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1976</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93.18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42</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2011</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1193</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1305.3</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1991</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95.45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57" w:type="dxa"/>
            <w:shd w:val="clear" w:color="auto" w:fill="auto"/>
            <w:vAlign w:val="center"/>
          </w:tcPr>
          <w:p>
            <w:pPr>
              <w:pStyle w:val="185"/>
              <w:adjustRightInd w:val="0"/>
              <w:snapToGrid w:val="0"/>
              <w:spacing w:line="240" w:lineRule="auto"/>
              <w:rPr>
                <w:color w:val="auto"/>
                <w:highlight w:val="none"/>
              </w:rPr>
            </w:pPr>
            <w:r>
              <w:rPr>
                <w:color w:val="auto"/>
                <w:highlight w:val="none"/>
              </w:rPr>
              <w:t>43</w:t>
            </w:r>
          </w:p>
        </w:tc>
        <w:tc>
          <w:tcPr>
            <w:tcW w:w="656" w:type="dxa"/>
            <w:shd w:val="clear" w:color="auto" w:fill="auto"/>
            <w:vAlign w:val="center"/>
          </w:tcPr>
          <w:p>
            <w:pPr>
              <w:pStyle w:val="185"/>
              <w:adjustRightInd w:val="0"/>
              <w:snapToGrid w:val="0"/>
              <w:spacing w:line="240" w:lineRule="auto"/>
              <w:rPr>
                <w:color w:val="auto"/>
                <w:highlight w:val="none"/>
              </w:rPr>
            </w:pPr>
            <w:r>
              <w:rPr>
                <w:color w:val="auto"/>
                <w:highlight w:val="none"/>
              </w:rPr>
              <w:t>2012</w:t>
            </w:r>
          </w:p>
        </w:tc>
        <w:tc>
          <w:tcPr>
            <w:tcW w:w="1861" w:type="dxa"/>
            <w:shd w:val="clear" w:color="auto" w:fill="auto"/>
            <w:vAlign w:val="center"/>
          </w:tcPr>
          <w:p>
            <w:pPr>
              <w:pStyle w:val="185"/>
              <w:adjustRightInd w:val="0"/>
              <w:snapToGrid w:val="0"/>
              <w:spacing w:line="240" w:lineRule="auto"/>
              <w:rPr>
                <w:color w:val="auto"/>
                <w:highlight w:val="none"/>
              </w:rPr>
            </w:pPr>
            <w:r>
              <w:rPr>
                <w:color w:val="auto"/>
                <w:highlight w:val="none"/>
              </w:rPr>
              <w:t>1934</w:t>
            </w:r>
          </w:p>
        </w:tc>
        <w:tc>
          <w:tcPr>
            <w:tcW w:w="2175" w:type="dxa"/>
            <w:shd w:val="clear" w:color="auto" w:fill="auto"/>
            <w:vAlign w:val="center"/>
          </w:tcPr>
          <w:p>
            <w:pPr>
              <w:pStyle w:val="185"/>
              <w:adjustRightInd w:val="0"/>
              <w:snapToGrid w:val="0"/>
              <w:spacing w:line="240" w:lineRule="auto"/>
              <w:rPr>
                <w:color w:val="auto"/>
                <w:highlight w:val="none"/>
              </w:rPr>
            </w:pPr>
            <w:r>
              <w:rPr>
                <w:color w:val="auto"/>
                <w:highlight w:val="none"/>
              </w:rPr>
              <w:t>1193</w:t>
            </w:r>
          </w:p>
        </w:tc>
        <w:tc>
          <w:tcPr>
            <w:tcW w:w="1090" w:type="dxa"/>
            <w:shd w:val="clear" w:color="auto" w:fill="auto"/>
            <w:vAlign w:val="center"/>
          </w:tcPr>
          <w:p>
            <w:pPr>
              <w:pStyle w:val="185"/>
              <w:adjustRightInd w:val="0"/>
              <w:snapToGrid w:val="0"/>
              <w:spacing w:line="240" w:lineRule="auto"/>
              <w:rPr>
                <w:color w:val="auto"/>
                <w:highlight w:val="none"/>
              </w:rPr>
            </w:pPr>
            <w:r>
              <w:rPr>
                <w:color w:val="auto"/>
                <w:highlight w:val="none"/>
              </w:rPr>
              <w:t>2011</w:t>
            </w:r>
          </w:p>
        </w:tc>
        <w:tc>
          <w:tcPr>
            <w:tcW w:w="2083" w:type="dxa"/>
            <w:shd w:val="clear" w:color="auto" w:fill="auto"/>
            <w:vAlign w:val="center"/>
          </w:tcPr>
          <w:p>
            <w:pPr>
              <w:pStyle w:val="185"/>
              <w:adjustRightInd w:val="0"/>
              <w:snapToGrid w:val="0"/>
              <w:spacing w:line="240" w:lineRule="auto"/>
              <w:rPr>
                <w:color w:val="auto"/>
                <w:highlight w:val="none"/>
              </w:rPr>
            </w:pPr>
            <w:r>
              <w:rPr>
                <w:color w:val="auto"/>
                <w:highlight w:val="none"/>
              </w:rPr>
              <w:t>97.73</w:t>
            </w:r>
          </w:p>
        </w:tc>
      </w:tr>
    </w:tbl>
    <w:p>
      <w:pPr>
        <w:ind w:firstLine="480"/>
        <w:rPr>
          <w:color w:val="auto"/>
          <w:highlight w:val="none"/>
        </w:rPr>
      </w:pPr>
      <w:r>
        <w:rPr>
          <w:rFonts w:hint="eastAsia"/>
          <w:color w:val="auto"/>
          <w:highlight w:val="none"/>
        </w:rPr>
        <w:t>经统计实测降雨参数如下：</w:t>
      </w:r>
    </w:p>
    <w:p>
      <w:pPr>
        <w:ind w:firstLine="480"/>
        <w:rPr>
          <w:color w:val="auto"/>
          <w:highlight w:val="none"/>
        </w:rPr>
      </w:pPr>
      <w:r>
        <w:rPr>
          <w:rFonts w:hint="eastAsia"/>
          <w:color w:val="auto"/>
          <w:highlight w:val="none"/>
        </w:rPr>
        <w:t>多年平均降雨量：</w:t>
      </w:r>
      <m:oMath>
        <m:acc>
          <m:accPr>
            <m:chr m:val="̅"/>
            <m:ctrlPr>
              <w:rPr>
                <w:rFonts w:ascii="Cambria Math" w:hAnsi="Cambria Math"/>
                <w:i/>
                <w:color w:val="auto"/>
                <w:highlight w:val="none"/>
              </w:rPr>
            </m:ctrlPr>
          </m:accPr>
          <m:e>
            <m:r>
              <w:rPr>
                <w:rFonts w:ascii="Cambria Math" w:hAnsi="Cambria Math"/>
                <w:color w:val="auto"/>
                <w:highlight w:val="none"/>
              </w:rPr>
              <m:t>H</m:t>
            </m:r>
            <m:ctrlPr>
              <w:rPr>
                <w:rFonts w:ascii="Cambria Math" w:hAnsi="Cambria Math"/>
                <w:i/>
                <w:color w:val="auto"/>
                <w:highlight w:val="none"/>
              </w:rPr>
            </m:ctrlPr>
          </m:e>
        </m:acc>
      </m:oMath>
      <w:r>
        <w:rPr>
          <w:rFonts w:hint="eastAsia"/>
          <w:color w:val="auto"/>
          <w:highlight w:val="none"/>
        </w:rPr>
        <w:t>=1904.09mm</w:t>
      </w:r>
    </w:p>
    <w:p>
      <w:pPr>
        <w:ind w:firstLine="480"/>
        <w:rPr>
          <w:color w:val="auto"/>
          <w:highlight w:val="none"/>
        </w:rPr>
      </w:pPr>
      <w:r>
        <w:rPr>
          <w:rFonts w:hint="eastAsia"/>
          <w:color w:val="auto"/>
          <w:highlight w:val="none"/>
        </w:rPr>
        <w:t>多年平均降雨量变差系数：C</w:t>
      </w:r>
      <w:r>
        <w:rPr>
          <w:rFonts w:hint="eastAsia"/>
          <w:color w:val="auto"/>
          <w:highlight w:val="none"/>
          <w:vertAlign w:val="subscript"/>
        </w:rPr>
        <w:t>vx</w:t>
      </w:r>
      <w:r>
        <w:rPr>
          <w:rFonts w:hint="eastAsia"/>
          <w:color w:val="auto"/>
          <w:highlight w:val="none"/>
        </w:rPr>
        <w:t>=0.178</w:t>
      </w:r>
    </w:p>
    <w:p>
      <w:pPr>
        <w:ind w:firstLine="480"/>
        <w:rPr>
          <w:color w:val="auto"/>
          <w:highlight w:val="none"/>
        </w:rPr>
      </w:pPr>
      <w:r>
        <w:rPr>
          <w:rFonts w:hint="eastAsia"/>
          <w:color w:val="auto"/>
          <w:highlight w:val="none"/>
        </w:rPr>
        <w:t>式中K</w:t>
      </w:r>
      <w:r>
        <w:rPr>
          <w:rFonts w:hint="eastAsia"/>
          <w:color w:val="auto"/>
          <w:highlight w:val="none"/>
          <w:vertAlign w:val="subscript"/>
        </w:rPr>
        <w:t>i</w:t>
      </w:r>
      <w:r>
        <w:rPr>
          <w:rFonts w:hint="eastAsia"/>
          <w:color w:val="auto"/>
          <w:highlight w:val="none"/>
        </w:rPr>
        <w:t>——模比系数，</w:t>
      </w:r>
      <m:oMath>
        <m:sSub>
          <m:sSubPr>
            <m:ctrlPr>
              <w:rPr>
                <w:rFonts w:ascii="Cambria Math" w:hAnsi="Cambria Math"/>
                <w:color w:val="auto"/>
                <w:highlight w:val="none"/>
              </w:rPr>
            </m:ctrlPr>
          </m:sSubPr>
          <m:e>
            <m:r>
              <w:rPr>
                <w:rFonts w:ascii="Cambria Math" w:hAnsi="Cambria Math"/>
                <w:color w:val="auto"/>
                <w:highlight w:val="none"/>
              </w:rPr>
              <m:t>K</m:t>
            </m:r>
            <m:ctrlPr>
              <w:rPr>
                <w:rFonts w:ascii="Cambria Math" w:hAnsi="Cambria Math"/>
                <w:color w:val="auto"/>
                <w:highlight w:val="none"/>
              </w:rPr>
            </m:ctrlPr>
          </m:e>
          <m:sub>
            <m:r>
              <w:rPr>
                <w:rFonts w:ascii="Cambria Math" w:hAnsi="Cambria Math"/>
                <w:color w:val="auto"/>
                <w:highlight w:val="none"/>
              </w:rPr>
              <m:t>i</m:t>
            </m:r>
            <m:ctrlPr>
              <w:rPr>
                <w:rFonts w:ascii="Cambria Math" w:hAnsi="Cambria Math"/>
                <w:color w:val="auto"/>
                <w:highlight w:val="none"/>
              </w:rPr>
            </m:ctrlPr>
          </m:sub>
        </m:sSub>
        <m:r>
          <w:rPr>
            <w:rFonts w:ascii="Cambria Math" w:hAnsi="Cambria Math"/>
            <w:color w:val="auto"/>
            <w:highlight w:val="none"/>
          </w:rPr>
          <m:t>=</m:t>
        </m:r>
        <m:f>
          <m:fPr>
            <m:ctrlPr>
              <w:rPr>
                <w:rFonts w:ascii="Cambria Math" w:hAnsi="Cambria Math"/>
                <w:i/>
                <w:color w:val="auto"/>
                <w:highlight w:val="none"/>
              </w:rPr>
            </m:ctrlPr>
          </m:fPr>
          <m:num>
            <m:sSub>
              <m:sSubPr>
                <m:ctrlPr>
                  <w:rPr>
                    <w:rFonts w:ascii="Cambria Math" w:hAnsi="Cambria Math"/>
                    <w:i/>
                    <w:color w:val="auto"/>
                    <w:highlight w:val="none"/>
                  </w:rPr>
                </m:ctrlPr>
              </m:sSubPr>
              <m:e>
                <m:r>
                  <w:rPr>
                    <w:rFonts w:ascii="Cambria Math" w:hAnsi="Cambria Math"/>
                    <w:color w:val="auto"/>
                    <w:highlight w:val="none"/>
                  </w:rPr>
                  <m:t>H</m:t>
                </m:r>
                <m:ctrlPr>
                  <w:rPr>
                    <w:rFonts w:ascii="Cambria Math" w:hAnsi="Cambria Math"/>
                    <w:i/>
                    <w:color w:val="auto"/>
                    <w:highlight w:val="none"/>
                  </w:rPr>
                </m:ctrlPr>
              </m:e>
              <m:sub>
                <m:r>
                  <w:rPr>
                    <w:rFonts w:ascii="Cambria Math" w:hAnsi="Cambria Math"/>
                    <w:color w:val="auto"/>
                    <w:highlight w:val="none"/>
                  </w:rPr>
                  <m:t>i</m:t>
                </m:r>
                <m:ctrlPr>
                  <w:rPr>
                    <w:rFonts w:ascii="Cambria Math" w:hAnsi="Cambria Math"/>
                    <w:i/>
                    <w:color w:val="auto"/>
                    <w:highlight w:val="none"/>
                  </w:rPr>
                </m:ctrlPr>
              </m:sub>
            </m:sSub>
            <m:ctrlPr>
              <w:rPr>
                <w:rFonts w:ascii="Cambria Math" w:hAnsi="Cambria Math"/>
                <w:i/>
                <w:color w:val="auto"/>
                <w:highlight w:val="none"/>
              </w:rPr>
            </m:ctrlPr>
          </m:num>
          <m:den>
            <m:acc>
              <m:accPr>
                <m:chr m:val="̅"/>
                <m:ctrlPr>
                  <w:rPr>
                    <w:rFonts w:ascii="Cambria Math" w:hAnsi="Cambria Math"/>
                    <w:i/>
                    <w:color w:val="auto"/>
                    <w:highlight w:val="none"/>
                  </w:rPr>
                </m:ctrlPr>
              </m:accPr>
              <m:e>
                <m:r>
                  <w:rPr>
                    <w:rFonts w:ascii="Cambria Math" w:hAnsi="Cambria Math"/>
                    <w:color w:val="auto"/>
                    <w:highlight w:val="none"/>
                  </w:rPr>
                  <m:t>H</m:t>
                </m:r>
                <m:ctrlPr>
                  <w:rPr>
                    <w:rFonts w:ascii="Cambria Math" w:hAnsi="Cambria Math"/>
                    <w:i/>
                    <w:color w:val="auto"/>
                    <w:highlight w:val="none"/>
                  </w:rPr>
                </m:ctrlPr>
              </m:e>
            </m:acc>
            <m:ctrlPr>
              <w:rPr>
                <w:rFonts w:ascii="Cambria Math" w:hAnsi="Cambria Math"/>
                <w:i/>
                <w:color w:val="auto"/>
                <w:highlight w:val="none"/>
              </w:rPr>
            </m:ctrlPr>
          </m:den>
        </m:f>
      </m:oMath>
    </w:p>
    <w:p>
      <w:pPr>
        <w:ind w:firstLine="480"/>
        <w:rPr>
          <w:color w:val="auto"/>
          <w:highlight w:val="none"/>
        </w:rPr>
      </w:pPr>
      <w:r>
        <w:rPr>
          <w:rFonts w:hint="eastAsia"/>
          <w:color w:val="auto"/>
          <w:highlight w:val="none"/>
        </w:rPr>
        <w:t>多年平均枯水期（8-10月）降雨量：</w:t>
      </w:r>
      <m:oMath>
        <m:sSub>
          <m:sSubPr>
            <m:ctrlPr>
              <w:rPr>
                <w:rFonts w:ascii="Cambria Math" w:hAnsi="Cambria Math"/>
                <w:color w:val="auto"/>
                <w:highlight w:val="none"/>
              </w:rPr>
            </m:ctrlPr>
          </m:sSubPr>
          <m:e>
            <m:acc>
              <m:accPr>
                <m:chr m:val="̅"/>
                <m:ctrlPr>
                  <w:rPr>
                    <w:rFonts w:ascii="Cambria Math" w:hAnsi="Cambria Math"/>
                    <w:i/>
                    <w:color w:val="auto"/>
                    <w:highlight w:val="none"/>
                  </w:rPr>
                </m:ctrlPr>
              </m:accPr>
              <m:e>
                <m:r>
                  <w:rPr>
                    <w:rFonts w:ascii="Cambria Math" w:hAnsi="Cambria Math"/>
                    <w:color w:val="auto"/>
                    <w:highlight w:val="none"/>
                  </w:rPr>
                  <m:t>H</m:t>
                </m:r>
                <m:ctrlPr>
                  <w:rPr>
                    <w:rFonts w:ascii="Cambria Math" w:hAnsi="Cambria Math"/>
                    <w:i/>
                    <w:color w:val="auto"/>
                    <w:highlight w:val="none"/>
                  </w:rPr>
                </m:ctrlPr>
              </m:e>
            </m:acc>
            <m:ctrlPr>
              <w:rPr>
                <w:rFonts w:ascii="Cambria Math" w:hAnsi="Cambria Math"/>
                <w:color w:val="auto"/>
                <w:highlight w:val="none"/>
              </w:rPr>
            </m:ctrlPr>
          </m:e>
          <m:sub>
            <m:r>
              <m:rPr>
                <m:sty m:val="p"/>
              </m:rPr>
              <w:rPr>
                <w:rFonts w:ascii="Cambria Math" w:hAnsi="Cambria Math"/>
                <w:color w:val="auto"/>
                <w:highlight w:val="none"/>
              </w:rPr>
              <m:t>枯</m:t>
            </m:r>
            <m:ctrlPr>
              <w:rPr>
                <w:rFonts w:ascii="Cambria Math" w:hAnsi="Cambria Math"/>
                <w:color w:val="auto"/>
                <w:highlight w:val="none"/>
              </w:rPr>
            </m:ctrlPr>
          </m:sub>
        </m:sSub>
      </m:oMath>
      <w:r>
        <w:rPr>
          <w:rFonts w:hint="eastAsia"/>
          <w:color w:val="auto"/>
          <w:highlight w:val="none"/>
        </w:rPr>
        <w:t>=424.47mm</w:t>
      </w:r>
    </w:p>
    <w:p>
      <w:pPr>
        <w:ind w:firstLine="480"/>
        <w:rPr>
          <w:color w:val="auto"/>
          <w:highlight w:val="none"/>
        </w:rPr>
      </w:pPr>
      <w:r>
        <w:rPr>
          <w:rFonts w:hint="eastAsia"/>
          <w:color w:val="auto"/>
          <w:highlight w:val="none"/>
        </w:rPr>
        <w:t>采用C</w:t>
      </w:r>
      <w:r>
        <w:rPr>
          <w:rFonts w:hint="eastAsia"/>
          <w:color w:val="auto"/>
          <w:highlight w:val="none"/>
          <w:vertAlign w:val="subscript"/>
        </w:rPr>
        <w:t>v</w:t>
      </w:r>
      <w:r>
        <w:rPr>
          <w:rFonts w:hint="eastAsia"/>
          <w:color w:val="auto"/>
          <w:highlight w:val="none"/>
        </w:rPr>
        <w:t>=0.178、0.19、0.2及C</w:t>
      </w:r>
      <w:r>
        <w:rPr>
          <w:rFonts w:hint="eastAsia"/>
          <w:color w:val="auto"/>
          <w:highlight w:val="none"/>
          <w:vertAlign w:val="subscript"/>
        </w:rPr>
        <w:t>s</w:t>
      </w:r>
      <w:r>
        <w:rPr>
          <w:rFonts w:hint="eastAsia"/>
          <w:color w:val="auto"/>
          <w:highlight w:val="none"/>
        </w:rPr>
        <w:t>=2Cv/3Cv/4Cv的皮尔逊III形曲线进行适线，适线结果表明：C</w:t>
      </w:r>
      <w:r>
        <w:rPr>
          <w:rFonts w:hint="eastAsia"/>
          <w:color w:val="auto"/>
          <w:highlight w:val="none"/>
          <w:vertAlign w:val="subscript"/>
        </w:rPr>
        <w:t>v</w:t>
      </w:r>
      <w:r>
        <w:rPr>
          <w:rFonts w:hint="eastAsia"/>
          <w:color w:val="auto"/>
          <w:highlight w:val="none"/>
        </w:rPr>
        <w:t>=0.19、R=2、C</w:t>
      </w:r>
      <w:r>
        <w:rPr>
          <w:rFonts w:hint="eastAsia"/>
          <w:color w:val="auto"/>
          <w:highlight w:val="none"/>
          <w:vertAlign w:val="subscript"/>
        </w:rPr>
        <w:t>s</w:t>
      </w:r>
      <w:r>
        <w:rPr>
          <w:rFonts w:hint="eastAsia"/>
          <w:color w:val="auto"/>
          <w:highlight w:val="none"/>
        </w:rPr>
        <w:t>=0.38理论频率曲线与经验频率曲线较为吻合，因此，采用实测降雨参数如下：</w:t>
      </w:r>
    </w:p>
    <w:p>
      <w:pPr>
        <w:ind w:firstLine="480"/>
        <w:rPr>
          <w:color w:val="auto"/>
          <w:highlight w:val="none"/>
        </w:rPr>
      </w:pPr>
      <w:r>
        <w:rPr>
          <w:rFonts w:hint="eastAsia"/>
          <w:color w:val="auto"/>
          <w:highlight w:val="none"/>
        </w:rPr>
        <w:t>多年平均降雨量：</w:t>
      </w:r>
      <m:oMath>
        <m:acc>
          <m:accPr>
            <m:chr m:val="̅"/>
            <m:ctrlPr>
              <w:rPr>
                <w:rFonts w:ascii="Cambria Math" w:hAnsi="Cambria Math"/>
                <w:i/>
                <w:color w:val="auto"/>
                <w:highlight w:val="none"/>
              </w:rPr>
            </m:ctrlPr>
          </m:accPr>
          <m:e>
            <m:r>
              <w:rPr>
                <w:rFonts w:ascii="Cambria Math" w:hAnsi="Cambria Math"/>
                <w:color w:val="auto"/>
                <w:highlight w:val="none"/>
              </w:rPr>
              <m:t>H</m:t>
            </m:r>
            <m:ctrlPr>
              <w:rPr>
                <w:rFonts w:ascii="Cambria Math" w:hAnsi="Cambria Math"/>
                <w:i/>
                <w:color w:val="auto"/>
                <w:highlight w:val="none"/>
              </w:rPr>
            </m:ctrlPr>
          </m:e>
        </m:acc>
      </m:oMath>
      <w:r>
        <w:rPr>
          <w:rFonts w:hint="eastAsia"/>
          <w:color w:val="auto"/>
          <w:highlight w:val="none"/>
        </w:rPr>
        <w:t>=1904.09mm</w:t>
      </w:r>
    </w:p>
    <w:p>
      <w:pPr>
        <w:ind w:firstLine="480"/>
        <w:rPr>
          <w:color w:val="auto"/>
          <w:highlight w:val="none"/>
        </w:rPr>
      </w:pPr>
      <w:r>
        <w:rPr>
          <w:rFonts w:hint="eastAsia"/>
          <w:color w:val="auto"/>
          <w:highlight w:val="none"/>
        </w:rPr>
        <w:t>多年平均降雨量变差系数：C</w:t>
      </w:r>
      <w:r>
        <w:rPr>
          <w:rFonts w:hint="eastAsia"/>
          <w:color w:val="auto"/>
          <w:highlight w:val="none"/>
          <w:vertAlign w:val="subscript"/>
        </w:rPr>
        <w:t>v</w:t>
      </w:r>
      <w:r>
        <w:rPr>
          <w:rFonts w:hint="eastAsia"/>
          <w:color w:val="auto"/>
          <w:highlight w:val="none"/>
        </w:rPr>
        <w:t>=0.19</w:t>
      </w:r>
    </w:p>
    <w:p>
      <w:pPr>
        <w:ind w:firstLine="480"/>
        <w:rPr>
          <w:color w:val="auto"/>
          <w:highlight w:val="none"/>
        </w:rPr>
      </w:pPr>
      <w:r>
        <w:rPr>
          <w:rFonts w:hint="eastAsia"/>
          <w:color w:val="auto"/>
          <w:highlight w:val="none"/>
        </w:rPr>
        <w:t>枯水年（P=90%）降雨量：</w:t>
      </w:r>
      <m:oMath>
        <m:sSub>
          <m:sSubPr>
            <m:ctrlPr>
              <w:rPr>
                <w:rFonts w:ascii="Cambria Math" w:hAnsi="Cambria Math"/>
                <w:color w:val="auto"/>
                <w:highlight w:val="none"/>
              </w:rPr>
            </m:ctrlPr>
          </m:sSubPr>
          <m:e>
            <m:acc>
              <m:accPr>
                <m:chr m:val="̅"/>
                <m:ctrlPr>
                  <w:rPr>
                    <w:rFonts w:ascii="Cambria Math" w:hAnsi="Cambria Math"/>
                    <w:i/>
                    <w:color w:val="auto"/>
                    <w:highlight w:val="none"/>
                  </w:rPr>
                </m:ctrlPr>
              </m:accPr>
              <m:e>
                <m:r>
                  <w:rPr>
                    <w:rFonts w:ascii="Cambria Math" w:hAnsi="Cambria Math"/>
                    <w:color w:val="auto"/>
                    <w:highlight w:val="none"/>
                  </w:rPr>
                  <m:t>H</m:t>
                </m:r>
                <m:ctrlPr>
                  <w:rPr>
                    <w:rFonts w:ascii="Cambria Math" w:hAnsi="Cambria Math"/>
                    <w:i/>
                    <w:color w:val="auto"/>
                    <w:highlight w:val="none"/>
                  </w:rPr>
                </m:ctrlPr>
              </m:e>
            </m:acc>
            <m:ctrlPr>
              <w:rPr>
                <w:rFonts w:ascii="Cambria Math" w:hAnsi="Cambria Math"/>
                <w:color w:val="auto"/>
                <w:highlight w:val="none"/>
              </w:rPr>
            </m:ctrlPr>
          </m:e>
          <m:sub>
            <m:r>
              <m:rPr>
                <m:sty m:val="p"/>
              </m:rPr>
              <w:rPr>
                <w:rFonts w:ascii="Cambria Math" w:hAnsi="Cambria Math"/>
                <w:color w:val="auto"/>
                <w:highlight w:val="none"/>
              </w:rPr>
              <m:t>枯</m:t>
            </m:r>
            <m:ctrlPr>
              <w:rPr>
                <w:rFonts w:ascii="Cambria Math" w:hAnsi="Cambria Math"/>
                <w:color w:val="auto"/>
                <w:highlight w:val="none"/>
              </w:rPr>
            </m:ctrlPr>
          </m:sub>
        </m:sSub>
      </m:oMath>
      <w:r>
        <w:rPr>
          <w:rFonts w:hint="eastAsia"/>
          <w:color w:val="auto"/>
          <w:highlight w:val="none"/>
        </w:rPr>
        <w:t>=1457.65mm</w:t>
      </w:r>
    </w:p>
    <w:p>
      <w:pPr>
        <w:pStyle w:val="264"/>
        <w:numPr>
          <w:ilvl w:val="4"/>
          <w:numId w:val="0"/>
        </w:numPr>
        <w:ind w:left="480" w:leftChars="0"/>
        <w:jc w:val="center"/>
        <w:rPr>
          <w:rFonts w:ascii="宋体" w:hAnsi="宋体" w:eastAsia="黑体"/>
          <w:b w:val="0"/>
          <w:color w:val="auto"/>
          <w:highlight w:val="none"/>
        </w:rPr>
      </w:pPr>
      <w:r>
        <w:rPr>
          <w:rFonts w:hint="eastAsia" w:ascii="宋体" w:hAnsi="宋体" w:eastAsia="黑体"/>
          <w:b w:val="0"/>
          <w:color w:val="auto"/>
          <w:highlight w:val="none"/>
          <w:lang w:eastAsia="zh-CN"/>
        </w:rPr>
        <w:t>表</w:t>
      </w:r>
      <w:r>
        <w:rPr>
          <w:rFonts w:hint="eastAsia" w:ascii="宋体" w:hAnsi="宋体" w:eastAsia="黑体"/>
          <w:b w:val="0"/>
          <w:color w:val="auto"/>
          <w:highlight w:val="none"/>
          <w:lang w:val="en-US" w:eastAsia="zh-CN"/>
        </w:rPr>
        <w:t xml:space="preserve">2-3 </w:t>
      </w:r>
      <w:r>
        <w:rPr>
          <w:rFonts w:hint="eastAsia" w:ascii="宋体" w:hAnsi="宋体" w:eastAsia="黑体"/>
          <w:b w:val="0"/>
          <w:color w:val="auto"/>
          <w:highlight w:val="none"/>
        </w:rPr>
        <w:t>年降雨量频率计算成果系列</w:t>
      </w:r>
    </w:p>
    <w:tbl>
      <w:tblPr>
        <w:tblStyle w:val="4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3"/>
        <w:gridCol w:w="1286"/>
        <w:gridCol w:w="544"/>
        <w:gridCol w:w="690"/>
        <w:gridCol w:w="836"/>
        <w:gridCol w:w="837"/>
        <w:gridCol w:w="836"/>
        <w:gridCol w:w="837"/>
        <w:gridCol w:w="836"/>
        <w:gridCol w:w="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983" w:type="dxa"/>
            <w:vMerge w:val="restart"/>
            <w:shd w:val="clear" w:color="auto" w:fill="auto"/>
            <w:vAlign w:val="center"/>
          </w:tcPr>
          <w:p>
            <w:pPr>
              <w:pStyle w:val="185"/>
              <w:spacing w:line="240" w:lineRule="auto"/>
              <w:rPr>
                <w:color w:val="auto"/>
                <w:highlight w:val="none"/>
              </w:rPr>
            </w:pPr>
            <w:r>
              <w:rPr>
                <w:color w:val="auto"/>
                <w:highlight w:val="none"/>
              </w:rPr>
              <w:t>项目</w:t>
            </w:r>
          </w:p>
        </w:tc>
        <w:tc>
          <w:tcPr>
            <w:tcW w:w="1286" w:type="dxa"/>
            <w:vMerge w:val="restart"/>
            <w:shd w:val="clear" w:color="auto" w:fill="auto"/>
            <w:vAlign w:val="center"/>
          </w:tcPr>
          <w:p>
            <w:pPr>
              <w:pStyle w:val="185"/>
              <w:spacing w:line="240" w:lineRule="auto"/>
              <w:rPr>
                <w:color w:val="auto"/>
                <w:highlight w:val="none"/>
              </w:rPr>
            </w:pPr>
            <w:r>
              <w:rPr>
                <w:color w:val="auto"/>
                <w:highlight w:val="none"/>
              </w:rPr>
              <w:t>均值（mm）</w:t>
            </w:r>
          </w:p>
        </w:tc>
        <w:tc>
          <w:tcPr>
            <w:tcW w:w="544" w:type="dxa"/>
            <w:vMerge w:val="restart"/>
            <w:shd w:val="clear" w:color="auto" w:fill="auto"/>
            <w:vAlign w:val="center"/>
          </w:tcPr>
          <w:p>
            <w:pPr>
              <w:pStyle w:val="185"/>
              <w:spacing w:line="240" w:lineRule="auto"/>
              <w:rPr>
                <w:color w:val="auto"/>
                <w:highlight w:val="none"/>
              </w:rPr>
            </w:pPr>
            <w:r>
              <w:rPr>
                <w:color w:val="auto"/>
                <w:highlight w:val="none"/>
              </w:rPr>
              <w:t>Cv</w:t>
            </w:r>
          </w:p>
        </w:tc>
        <w:tc>
          <w:tcPr>
            <w:tcW w:w="690" w:type="dxa"/>
            <w:vMerge w:val="restart"/>
            <w:shd w:val="clear" w:color="auto" w:fill="auto"/>
            <w:vAlign w:val="center"/>
          </w:tcPr>
          <w:p>
            <w:pPr>
              <w:pStyle w:val="185"/>
              <w:spacing w:line="240" w:lineRule="auto"/>
              <w:rPr>
                <w:color w:val="auto"/>
                <w:highlight w:val="none"/>
              </w:rPr>
            </w:pPr>
            <w:r>
              <w:rPr>
                <w:color w:val="auto"/>
                <w:highlight w:val="none"/>
              </w:rPr>
              <w:t>Cs/Cv</w:t>
            </w:r>
          </w:p>
        </w:tc>
        <w:tc>
          <w:tcPr>
            <w:tcW w:w="5019" w:type="dxa"/>
            <w:gridSpan w:val="6"/>
            <w:shd w:val="clear" w:color="auto" w:fill="auto"/>
            <w:vAlign w:val="center"/>
          </w:tcPr>
          <w:p>
            <w:pPr>
              <w:pStyle w:val="185"/>
              <w:spacing w:line="240" w:lineRule="auto"/>
              <w:rPr>
                <w:color w:val="auto"/>
                <w:highlight w:val="none"/>
              </w:rPr>
            </w:pPr>
            <w:r>
              <w:rPr>
                <w:color w:val="auto"/>
                <w:highlight w:val="none"/>
              </w:rPr>
              <w:t>不同保证率年径流深（mm）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983" w:type="dxa"/>
            <w:vMerge w:val="continue"/>
            <w:vAlign w:val="center"/>
          </w:tcPr>
          <w:p>
            <w:pPr>
              <w:pStyle w:val="185"/>
              <w:spacing w:line="240" w:lineRule="auto"/>
              <w:rPr>
                <w:color w:val="auto"/>
                <w:highlight w:val="none"/>
              </w:rPr>
            </w:pPr>
          </w:p>
        </w:tc>
        <w:tc>
          <w:tcPr>
            <w:tcW w:w="1286" w:type="dxa"/>
            <w:vMerge w:val="continue"/>
            <w:vAlign w:val="center"/>
          </w:tcPr>
          <w:p>
            <w:pPr>
              <w:pStyle w:val="185"/>
              <w:spacing w:line="240" w:lineRule="auto"/>
              <w:rPr>
                <w:color w:val="auto"/>
                <w:highlight w:val="none"/>
              </w:rPr>
            </w:pPr>
          </w:p>
        </w:tc>
        <w:tc>
          <w:tcPr>
            <w:tcW w:w="544" w:type="dxa"/>
            <w:vMerge w:val="continue"/>
            <w:vAlign w:val="center"/>
          </w:tcPr>
          <w:p>
            <w:pPr>
              <w:pStyle w:val="185"/>
              <w:spacing w:line="240" w:lineRule="auto"/>
              <w:rPr>
                <w:color w:val="auto"/>
                <w:highlight w:val="none"/>
              </w:rPr>
            </w:pPr>
          </w:p>
        </w:tc>
        <w:tc>
          <w:tcPr>
            <w:tcW w:w="690" w:type="dxa"/>
            <w:vMerge w:val="continue"/>
            <w:vAlign w:val="center"/>
          </w:tcPr>
          <w:p>
            <w:pPr>
              <w:pStyle w:val="185"/>
              <w:spacing w:line="240" w:lineRule="auto"/>
              <w:rPr>
                <w:color w:val="auto"/>
                <w:highlight w:val="none"/>
              </w:rPr>
            </w:pPr>
          </w:p>
        </w:tc>
        <w:tc>
          <w:tcPr>
            <w:tcW w:w="836" w:type="dxa"/>
            <w:shd w:val="clear" w:color="auto" w:fill="auto"/>
            <w:vAlign w:val="center"/>
          </w:tcPr>
          <w:p>
            <w:pPr>
              <w:pStyle w:val="185"/>
              <w:spacing w:line="240" w:lineRule="auto"/>
              <w:rPr>
                <w:color w:val="auto"/>
                <w:highlight w:val="none"/>
              </w:rPr>
            </w:pPr>
            <w:r>
              <w:rPr>
                <w:color w:val="auto"/>
                <w:highlight w:val="none"/>
              </w:rPr>
              <w:t>10%</w:t>
            </w:r>
          </w:p>
        </w:tc>
        <w:tc>
          <w:tcPr>
            <w:tcW w:w="837" w:type="dxa"/>
            <w:shd w:val="clear" w:color="auto" w:fill="auto"/>
            <w:vAlign w:val="center"/>
          </w:tcPr>
          <w:p>
            <w:pPr>
              <w:pStyle w:val="185"/>
              <w:spacing w:line="240" w:lineRule="auto"/>
              <w:rPr>
                <w:color w:val="auto"/>
                <w:highlight w:val="none"/>
              </w:rPr>
            </w:pPr>
            <w:r>
              <w:rPr>
                <w:color w:val="auto"/>
                <w:highlight w:val="none"/>
              </w:rPr>
              <w:t>20%</w:t>
            </w:r>
          </w:p>
        </w:tc>
        <w:tc>
          <w:tcPr>
            <w:tcW w:w="836" w:type="dxa"/>
            <w:shd w:val="clear" w:color="auto" w:fill="auto"/>
            <w:vAlign w:val="center"/>
          </w:tcPr>
          <w:p>
            <w:pPr>
              <w:pStyle w:val="185"/>
              <w:spacing w:line="240" w:lineRule="auto"/>
              <w:rPr>
                <w:color w:val="auto"/>
                <w:highlight w:val="none"/>
              </w:rPr>
            </w:pPr>
            <w:r>
              <w:rPr>
                <w:color w:val="auto"/>
                <w:highlight w:val="none"/>
              </w:rPr>
              <w:t>25%</w:t>
            </w:r>
          </w:p>
        </w:tc>
        <w:tc>
          <w:tcPr>
            <w:tcW w:w="837" w:type="dxa"/>
            <w:shd w:val="clear" w:color="auto" w:fill="auto"/>
            <w:vAlign w:val="center"/>
          </w:tcPr>
          <w:p>
            <w:pPr>
              <w:pStyle w:val="185"/>
              <w:spacing w:line="240" w:lineRule="auto"/>
              <w:rPr>
                <w:color w:val="auto"/>
                <w:highlight w:val="none"/>
              </w:rPr>
            </w:pPr>
            <w:r>
              <w:rPr>
                <w:color w:val="auto"/>
                <w:highlight w:val="none"/>
              </w:rPr>
              <w:t>50%</w:t>
            </w:r>
          </w:p>
        </w:tc>
        <w:tc>
          <w:tcPr>
            <w:tcW w:w="836" w:type="dxa"/>
            <w:shd w:val="clear" w:color="auto" w:fill="auto"/>
            <w:vAlign w:val="center"/>
          </w:tcPr>
          <w:p>
            <w:pPr>
              <w:pStyle w:val="185"/>
              <w:spacing w:line="240" w:lineRule="auto"/>
              <w:rPr>
                <w:color w:val="auto"/>
                <w:highlight w:val="none"/>
              </w:rPr>
            </w:pPr>
            <w:r>
              <w:rPr>
                <w:color w:val="auto"/>
                <w:highlight w:val="none"/>
              </w:rPr>
              <w:t>75%</w:t>
            </w:r>
          </w:p>
        </w:tc>
        <w:tc>
          <w:tcPr>
            <w:tcW w:w="837" w:type="dxa"/>
            <w:shd w:val="clear" w:color="auto" w:fill="auto"/>
            <w:vAlign w:val="center"/>
          </w:tcPr>
          <w:p>
            <w:pPr>
              <w:pStyle w:val="185"/>
              <w:spacing w:line="240" w:lineRule="auto"/>
              <w:rPr>
                <w:color w:val="auto"/>
                <w:highlight w:val="none"/>
              </w:rPr>
            </w:pPr>
            <w:r>
              <w:rPr>
                <w:color w:val="auto"/>
                <w:highlight w:val="none"/>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983" w:type="dxa"/>
            <w:shd w:val="clear" w:color="auto" w:fill="auto"/>
            <w:vAlign w:val="center"/>
          </w:tcPr>
          <w:p>
            <w:pPr>
              <w:pStyle w:val="185"/>
              <w:spacing w:line="240" w:lineRule="auto"/>
              <w:rPr>
                <w:color w:val="auto"/>
                <w:highlight w:val="none"/>
              </w:rPr>
            </w:pPr>
            <w:r>
              <w:rPr>
                <w:color w:val="auto"/>
                <w:highlight w:val="none"/>
              </w:rPr>
              <w:t>年降雨量</w:t>
            </w:r>
          </w:p>
        </w:tc>
        <w:tc>
          <w:tcPr>
            <w:tcW w:w="1286" w:type="dxa"/>
            <w:shd w:val="clear" w:color="auto" w:fill="auto"/>
            <w:vAlign w:val="center"/>
          </w:tcPr>
          <w:p>
            <w:pPr>
              <w:pStyle w:val="185"/>
              <w:spacing w:line="240" w:lineRule="auto"/>
              <w:rPr>
                <w:color w:val="auto"/>
                <w:highlight w:val="none"/>
              </w:rPr>
            </w:pPr>
            <w:r>
              <w:rPr>
                <w:color w:val="auto"/>
                <w:highlight w:val="none"/>
              </w:rPr>
              <w:t>1904.09</w:t>
            </w:r>
          </w:p>
        </w:tc>
        <w:tc>
          <w:tcPr>
            <w:tcW w:w="544" w:type="dxa"/>
            <w:shd w:val="clear" w:color="auto" w:fill="auto"/>
            <w:vAlign w:val="center"/>
          </w:tcPr>
          <w:p>
            <w:pPr>
              <w:pStyle w:val="185"/>
              <w:spacing w:line="240" w:lineRule="auto"/>
              <w:rPr>
                <w:color w:val="auto"/>
                <w:highlight w:val="none"/>
              </w:rPr>
            </w:pPr>
            <w:r>
              <w:rPr>
                <w:color w:val="auto"/>
                <w:highlight w:val="none"/>
              </w:rPr>
              <w:t>0.19</w:t>
            </w:r>
          </w:p>
        </w:tc>
        <w:tc>
          <w:tcPr>
            <w:tcW w:w="690" w:type="dxa"/>
            <w:shd w:val="clear" w:color="auto" w:fill="auto"/>
            <w:vAlign w:val="center"/>
          </w:tcPr>
          <w:p>
            <w:pPr>
              <w:pStyle w:val="185"/>
              <w:spacing w:line="240" w:lineRule="auto"/>
              <w:rPr>
                <w:color w:val="auto"/>
                <w:highlight w:val="none"/>
              </w:rPr>
            </w:pPr>
            <w:r>
              <w:rPr>
                <w:color w:val="auto"/>
                <w:highlight w:val="none"/>
              </w:rPr>
              <w:t>2</w:t>
            </w:r>
          </w:p>
        </w:tc>
        <w:tc>
          <w:tcPr>
            <w:tcW w:w="836" w:type="dxa"/>
            <w:shd w:val="clear" w:color="auto" w:fill="auto"/>
            <w:vAlign w:val="center"/>
          </w:tcPr>
          <w:p>
            <w:pPr>
              <w:pStyle w:val="185"/>
              <w:spacing w:line="240" w:lineRule="auto"/>
              <w:rPr>
                <w:color w:val="auto"/>
                <w:highlight w:val="none"/>
              </w:rPr>
            </w:pPr>
            <w:r>
              <w:rPr>
                <w:color w:val="auto"/>
                <w:highlight w:val="none"/>
              </w:rPr>
              <w:t>2379.94</w:t>
            </w:r>
          </w:p>
        </w:tc>
        <w:tc>
          <w:tcPr>
            <w:tcW w:w="837" w:type="dxa"/>
            <w:shd w:val="clear" w:color="auto" w:fill="auto"/>
            <w:vAlign w:val="center"/>
          </w:tcPr>
          <w:p>
            <w:pPr>
              <w:pStyle w:val="185"/>
              <w:spacing w:line="240" w:lineRule="auto"/>
              <w:rPr>
                <w:color w:val="auto"/>
                <w:highlight w:val="none"/>
              </w:rPr>
            </w:pPr>
            <w:r>
              <w:rPr>
                <w:color w:val="auto"/>
                <w:highlight w:val="none"/>
              </w:rPr>
              <w:t>2199.99</w:t>
            </w:r>
          </w:p>
        </w:tc>
        <w:tc>
          <w:tcPr>
            <w:tcW w:w="836" w:type="dxa"/>
            <w:shd w:val="clear" w:color="auto" w:fill="auto"/>
            <w:vAlign w:val="center"/>
          </w:tcPr>
          <w:p>
            <w:pPr>
              <w:pStyle w:val="185"/>
              <w:spacing w:line="240" w:lineRule="auto"/>
              <w:rPr>
                <w:color w:val="auto"/>
                <w:highlight w:val="none"/>
              </w:rPr>
            </w:pPr>
            <w:r>
              <w:rPr>
                <w:color w:val="auto"/>
                <w:highlight w:val="none"/>
              </w:rPr>
              <w:t>1620.92</w:t>
            </w:r>
          </w:p>
        </w:tc>
        <w:tc>
          <w:tcPr>
            <w:tcW w:w="837" w:type="dxa"/>
            <w:shd w:val="clear" w:color="auto" w:fill="auto"/>
            <w:vAlign w:val="center"/>
          </w:tcPr>
          <w:p>
            <w:pPr>
              <w:pStyle w:val="185"/>
              <w:spacing w:line="240" w:lineRule="auto"/>
              <w:rPr>
                <w:color w:val="auto"/>
                <w:highlight w:val="none"/>
              </w:rPr>
            </w:pPr>
            <w:r>
              <w:rPr>
                <w:color w:val="auto"/>
                <w:highlight w:val="none"/>
              </w:rPr>
              <w:t>1881.23</w:t>
            </w:r>
          </w:p>
        </w:tc>
        <w:tc>
          <w:tcPr>
            <w:tcW w:w="836" w:type="dxa"/>
            <w:shd w:val="clear" w:color="auto" w:fill="auto"/>
            <w:vAlign w:val="center"/>
          </w:tcPr>
          <w:p>
            <w:pPr>
              <w:pStyle w:val="185"/>
              <w:spacing w:line="240" w:lineRule="auto"/>
              <w:rPr>
                <w:color w:val="auto"/>
                <w:highlight w:val="none"/>
              </w:rPr>
            </w:pPr>
            <w:r>
              <w:rPr>
                <w:color w:val="auto"/>
                <w:highlight w:val="none"/>
              </w:rPr>
              <w:t>1649.23</w:t>
            </w:r>
          </w:p>
        </w:tc>
        <w:tc>
          <w:tcPr>
            <w:tcW w:w="837" w:type="dxa"/>
            <w:shd w:val="clear" w:color="auto" w:fill="auto"/>
            <w:vAlign w:val="center"/>
          </w:tcPr>
          <w:p>
            <w:pPr>
              <w:pStyle w:val="185"/>
              <w:spacing w:line="240" w:lineRule="auto"/>
              <w:rPr>
                <w:color w:val="auto"/>
                <w:highlight w:val="none"/>
              </w:rPr>
            </w:pPr>
            <w:r>
              <w:rPr>
                <w:color w:val="auto"/>
                <w:highlight w:val="none"/>
              </w:rPr>
              <w:t>1457.65</w:t>
            </w:r>
          </w:p>
        </w:tc>
      </w:tr>
    </w:tbl>
    <w:p>
      <w:pPr>
        <w:ind w:firstLine="480"/>
        <w:rPr>
          <w:color w:val="auto"/>
          <w:highlight w:val="none"/>
        </w:rPr>
      </w:pPr>
      <w:r>
        <w:rPr>
          <w:rFonts w:hint="eastAsia"/>
          <w:color w:val="auto"/>
          <w:highlight w:val="none"/>
        </w:rPr>
        <w:t>查《广东省水文图集》（1991年）里有关水文图集,得工程范围集雨中心位置的有关参数如下:</w:t>
      </w:r>
    </w:p>
    <w:p>
      <w:pPr>
        <w:ind w:firstLine="480"/>
        <w:rPr>
          <w:color w:val="auto"/>
          <w:highlight w:val="none"/>
        </w:rPr>
      </w:pPr>
      <w:r>
        <w:rPr>
          <w:rFonts w:hint="eastAsia"/>
          <w:color w:val="auto"/>
          <w:highlight w:val="none"/>
        </w:rPr>
        <w:t>多年平均降雨量：</w:t>
      </w:r>
      <m:oMath>
        <m:acc>
          <m:accPr>
            <m:chr m:val="̅"/>
            <m:ctrlPr>
              <w:rPr>
                <w:rFonts w:ascii="Cambria Math" w:hAnsi="Cambria Math"/>
                <w:i/>
                <w:color w:val="auto"/>
                <w:highlight w:val="none"/>
              </w:rPr>
            </m:ctrlPr>
          </m:accPr>
          <m:e>
            <m:r>
              <w:rPr>
                <w:rFonts w:ascii="Cambria Math" w:hAnsi="Cambria Math"/>
                <w:color w:val="auto"/>
                <w:highlight w:val="none"/>
              </w:rPr>
              <m:t>H</m:t>
            </m:r>
            <m:ctrlPr>
              <w:rPr>
                <w:rFonts w:ascii="Cambria Math" w:hAnsi="Cambria Math"/>
                <w:i/>
                <w:color w:val="auto"/>
                <w:highlight w:val="none"/>
              </w:rPr>
            </m:ctrlPr>
          </m:e>
        </m:acc>
      </m:oMath>
      <w:r>
        <w:rPr>
          <w:rFonts w:hint="eastAsia"/>
          <w:color w:val="auto"/>
          <w:highlight w:val="none"/>
        </w:rPr>
        <w:t>=1900mm</w:t>
      </w:r>
    </w:p>
    <w:p>
      <w:pPr>
        <w:ind w:firstLine="480"/>
        <w:rPr>
          <w:color w:val="auto"/>
          <w:highlight w:val="none"/>
        </w:rPr>
      </w:pPr>
      <w:r>
        <w:rPr>
          <w:rFonts w:hint="eastAsia"/>
          <w:color w:val="auto"/>
          <w:highlight w:val="none"/>
        </w:rPr>
        <w:t>多年平均降雨量变差系数：C</w:t>
      </w:r>
      <w:r>
        <w:rPr>
          <w:rFonts w:hint="eastAsia"/>
          <w:color w:val="auto"/>
          <w:highlight w:val="none"/>
          <w:vertAlign w:val="subscript"/>
        </w:rPr>
        <w:t>vx</w:t>
      </w:r>
      <w:r>
        <w:rPr>
          <w:rFonts w:hint="eastAsia"/>
          <w:color w:val="auto"/>
          <w:highlight w:val="none"/>
        </w:rPr>
        <w:t>=0.</w:t>
      </w:r>
      <w:r>
        <w:rPr>
          <w:color w:val="auto"/>
          <w:highlight w:val="none"/>
        </w:rPr>
        <w:t>19</w:t>
      </w:r>
    </w:p>
    <w:p>
      <w:pPr>
        <w:ind w:firstLine="480"/>
        <w:rPr>
          <w:color w:val="auto"/>
          <w:highlight w:val="none"/>
        </w:rPr>
      </w:pPr>
      <w:r>
        <w:rPr>
          <w:rFonts w:hint="eastAsia"/>
          <w:color w:val="auto"/>
          <w:highlight w:val="none"/>
        </w:rPr>
        <w:t>多年平均径流深：</w:t>
      </w:r>
      <m:oMath>
        <m:acc>
          <m:accPr>
            <m:chr m:val="̅"/>
            <m:ctrlPr>
              <w:rPr>
                <w:rFonts w:ascii="Cambria Math" w:hAnsi="Cambria Math"/>
                <w:i/>
                <w:color w:val="auto"/>
                <w:highlight w:val="none"/>
              </w:rPr>
            </m:ctrlPr>
          </m:accPr>
          <m:e>
            <m:r>
              <w:rPr>
                <w:rFonts w:ascii="Cambria Math" w:hAnsi="Cambria Math"/>
                <w:color w:val="auto"/>
                <w:highlight w:val="none"/>
              </w:rPr>
              <m:t>ℎ</m:t>
            </m:r>
            <m:ctrlPr>
              <w:rPr>
                <w:rFonts w:ascii="Cambria Math" w:hAnsi="Cambria Math"/>
                <w:i/>
                <w:color w:val="auto"/>
                <w:highlight w:val="none"/>
              </w:rPr>
            </m:ctrlPr>
          </m:e>
        </m:acc>
      </m:oMath>
      <w:r>
        <w:rPr>
          <w:rFonts w:hint="eastAsia"/>
          <w:color w:val="auto"/>
          <w:highlight w:val="none"/>
        </w:rPr>
        <w:t>=1240mm</w:t>
      </w:r>
    </w:p>
    <w:p>
      <w:pPr>
        <w:ind w:firstLine="480"/>
        <w:rPr>
          <w:color w:val="auto"/>
          <w:highlight w:val="none"/>
        </w:rPr>
      </w:pPr>
      <w:r>
        <w:rPr>
          <w:rFonts w:hint="eastAsia"/>
          <w:color w:val="auto"/>
          <w:highlight w:val="none"/>
        </w:rPr>
        <w:t>查水文图集结果与实测成果对比看出，两者相差很小，因此可认为实测降雨量数据观测准确、统计计算合理，可以采用。</w:t>
      </w:r>
    </w:p>
    <w:p>
      <w:pPr>
        <w:ind w:firstLine="480"/>
        <w:rPr>
          <w:color w:val="auto"/>
          <w:highlight w:val="none"/>
        </w:rPr>
      </w:pPr>
      <w:r>
        <w:rPr>
          <w:rFonts w:hint="eastAsia"/>
          <w:color w:val="auto"/>
          <w:highlight w:val="none"/>
        </w:rPr>
        <w:t>则多年平均径流系数：</w:t>
      </w:r>
      <m:oMath>
        <m:r>
          <m:rPr>
            <m:sty m:val="p"/>
          </m:rPr>
          <w:rPr>
            <w:rFonts w:ascii="Cambria Math" w:hAnsi="Cambria Math"/>
            <w:color w:val="auto"/>
            <w:highlight w:val="none"/>
          </w:rPr>
          <m:t>a=</m:t>
        </m:r>
        <m:f>
          <m:fPr>
            <m:ctrlPr>
              <w:rPr>
                <w:rFonts w:ascii="Cambria Math" w:hAnsi="Cambria Math"/>
                <w:color w:val="auto"/>
                <w:highlight w:val="none"/>
              </w:rPr>
            </m:ctrlPr>
          </m:fPr>
          <m:num>
            <m:acc>
              <m:accPr>
                <m:chr m:val="̅"/>
                <m:ctrlPr>
                  <w:rPr>
                    <w:rFonts w:ascii="Cambria Math" w:hAnsi="Cambria Math"/>
                    <w:i/>
                    <w:color w:val="auto"/>
                    <w:highlight w:val="none"/>
                  </w:rPr>
                </m:ctrlPr>
              </m:accPr>
              <m:e>
                <m:r>
                  <w:rPr>
                    <w:rFonts w:ascii="Cambria Math" w:hAnsi="Cambria Math"/>
                    <w:color w:val="auto"/>
                    <w:highlight w:val="none"/>
                  </w:rPr>
                  <m:t>ℎ</m:t>
                </m:r>
                <m:ctrlPr>
                  <w:rPr>
                    <w:rFonts w:ascii="Cambria Math" w:hAnsi="Cambria Math"/>
                    <w:i/>
                    <w:color w:val="auto"/>
                    <w:highlight w:val="none"/>
                  </w:rPr>
                </m:ctrlPr>
              </m:e>
            </m:acc>
            <m:ctrlPr>
              <w:rPr>
                <w:rFonts w:ascii="Cambria Math" w:hAnsi="Cambria Math"/>
                <w:color w:val="auto"/>
                <w:highlight w:val="none"/>
              </w:rPr>
            </m:ctrlPr>
          </m:num>
          <m:den>
            <m:acc>
              <m:accPr>
                <m:chr m:val="̅"/>
                <m:ctrlPr>
                  <w:rPr>
                    <w:rFonts w:ascii="Cambria Math" w:hAnsi="Cambria Math"/>
                    <w:i/>
                    <w:color w:val="auto"/>
                    <w:highlight w:val="none"/>
                  </w:rPr>
                </m:ctrlPr>
              </m:accPr>
              <m:e>
                <m:r>
                  <w:rPr>
                    <w:rFonts w:ascii="Cambria Math" w:hAnsi="Cambria Math"/>
                    <w:color w:val="auto"/>
                    <w:highlight w:val="none"/>
                  </w:rPr>
                  <m:t>H</m:t>
                </m:r>
                <m:ctrlPr>
                  <w:rPr>
                    <w:rFonts w:ascii="Cambria Math" w:hAnsi="Cambria Math"/>
                    <w:i/>
                    <w:color w:val="auto"/>
                    <w:highlight w:val="none"/>
                  </w:rPr>
                </m:ctrlPr>
              </m:e>
            </m:acc>
            <m:ctrlPr>
              <w:rPr>
                <w:rFonts w:ascii="Cambria Math" w:hAnsi="Cambria Math"/>
                <w:color w:val="auto"/>
                <w:highlight w:val="none"/>
              </w:rPr>
            </m:ctrlPr>
          </m:den>
        </m:f>
        <m:r>
          <w:rPr>
            <w:rFonts w:ascii="Cambria Math" w:hAnsi="Cambria Math"/>
            <w:color w:val="auto"/>
            <w:highlight w:val="none"/>
          </w:rPr>
          <m:t>=</m:t>
        </m:r>
        <m:f>
          <m:fPr>
            <m:ctrlPr>
              <w:rPr>
                <w:rFonts w:ascii="Cambria Math" w:hAnsi="Cambria Math"/>
                <w:i/>
                <w:color w:val="auto"/>
                <w:highlight w:val="none"/>
              </w:rPr>
            </m:ctrlPr>
          </m:fPr>
          <m:num>
            <m:r>
              <w:rPr>
                <w:rFonts w:ascii="Cambria Math" w:hAnsi="Cambria Math"/>
                <w:color w:val="auto"/>
                <w:highlight w:val="none"/>
              </w:rPr>
              <m:t>1240</m:t>
            </m:r>
            <m:ctrlPr>
              <w:rPr>
                <w:rFonts w:ascii="Cambria Math" w:hAnsi="Cambria Math"/>
                <w:i/>
                <w:color w:val="auto"/>
                <w:highlight w:val="none"/>
              </w:rPr>
            </m:ctrlPr>
          </m:num>
          <m:den>
            <m:r>
              <w:rPr>
                <w:rFonts w:ascii="Cambria Math" w:hAnsi="Cambria Math"/>
                <w:color w:val="auto"/>
                <w:highlight w:val="none"/>
              </w:rPr>
              <m:t>1904.09</m:t>
            </m:r>
            <m:ctrlPr>
              <w:rPr>
                <w:rFonts w:ascii="Cambria Math" w:hAnsi="Cambria Math"/>
                <w:i/>
                <w:color w:val="auto"/>
                <w:highlight w:val="none"/>
              </w:rPr>
            </m:ctrlPr>
          </m:den>
        </m:f>
        <m:r>
          <w:rPr>
            <w:rFonts w:ascii="Cambria Math" w:hAnsi="Cambria Math"/>
            <w:color w:val="auto"/>
            <w:highlight w:val="none"/>
          </w:rPr>
          <m:t>=0.651</m:t>
        </m:r>
      </m:oMath>
    </w:p>
    <w:p>
      <w:pPr>
        <w:ind w:firstLine="480"/>
        <w:rPr>
          <w:color w:val="auto"/>
          <w:highlight w:val="none"/>
        </w:rPr>
      </w:pPr>
      <w:r>
        <w:rPr>
          <w:rFonts w:hint="eastAsia"/>
          <w:color w:val="auto"/>
          <w:highlight w:val="none"/>
        </w:rPr>
        <w:t>根据《广东省水资源》（1986年8月），年径流变差参数与年降雨变差系数之间关系如下：</w:t>
      </w:r>
    </w:p>
    <w:p>
      <w:pPr>
        <w:ind w:firstLine="480"/>
        <w:jc w:val="center"/>
        <w:rPr>
          <w:rFonts w:hint="eastAsia" w:eastAsia="宋体"/>
          <w:color w:val="auto"/>
          <w:highlight w:val="none"/>
          <w:lang w:eastAsia="zh-CN"/>
        </w:rPr>
      </w:pPr>
      <m:oMath>
        <m:sSub>
          <m:sSubPr>
            <m:ctrlPr>
              <w:rPr>
                <w:rFonts w:ascii="Cambria Math" w:hAnsi="Cambria Math"/>
                <w:color w:val="auto"/>
                <w:highlight w:val="none"/>
              </w:rPr>
            </m:ctrlPr>
          </m:sSubPr>
          <m:e>
            <m:r>
              <w:rPr>
                <w:rFonts w:ascii="Cambria Math" w:hAnsi="Cambria Math"/>
                <w:color w:val="auto"/>
                <w:highlight w:val="none"/>
              </w:rPr>
              <m:t>C</m:t>
            </m:r>
            <m:ctrlPr>
              <w:rPr>
                <w:rFonts w:ascii="Cambria Math" w:hAnsi="Cambria Math"/>
                <w:color w:val="auto"/>
                <w:highlight w:val="none"/>
              </w:rPr>
            </m:ctrlPr>
          </m:e>
          <m:sub>
            <m:r>
              <w:rPr>
                <w:rFonts w:ascii="Cambria Math" w:hAnsi="Cambria Math"/>
                <w:color w:val="auto"/>
                <w:highlight w:val="none"/>
              </w:rPr>
              <m:t>vy</m:t>
            </m:r>
            <m:ctrlPr>
              <w:rPr>
                <w:rFonts w:ascii="Cambria Math" w:hAnsi="Cambria Math"/>
                <w:color w:val="auto"/>
                <w:highlight w:val="none"/>
              </w:rPr>
            </m:ctrlPr>
          </m:sub>
        </m:sSub>
        <m:r>
          <w:rPr>
            <w:rFonts w:ascii="Cambria Math" w:hAnsi="Cambria Math"/>
            <w:color w:val="auto"/>
            <w:highlight w:val="none"/>
          </w:rPr>
          <m:t>=</m:t>
        </m:r>
        <m:f>
          <m:fPr>
            <m:ctrlPr>
              <w:rPr>
                <w:rFonts w:ascii="Cambria Math" w:hAnsi="Cambria Math"/>
                <w:i/>
                <w:color w:val="auto"/>
                <w:highlight w:val="none"/>
              </w:rPr>
            </m:ctrlPr>
          </m:fPr>
          <m:num>
            <m:r>
              <m:rPr>
                <m:sty m:val="p"/>
              </m:rPr>
              <w:rPr>
                <w:rFonts w:ascii="Cambria Math" w:hAnsi="Cambria Math"/>
                <w:color w:val="auto"/>
                <w:highlight w:val="none"/>
              </w:rPr>
              <m:t>Γ</m:t>
            </m:r>
            <m:sSub>
              <m:sSubPr>
                <m:ctrlPr>
                  <w:rPr>
                    <w:rFonts w:ascii="Cambria Math" w:hAnsi="Cambria Math"/>
                    <w:i/>
                    <w:color w:val="auto"/>
                    <w:highlight w:val="none"/>
                  </w:rPr>
                </m:ctrlPr>
              </m:sSubPr>
              <m:e>
                <m:r>
                  <w:rPr>
                    <w:rFonts w:ascii="Cambria Math" w:hAnsi="Cambria Math"/>
                    <w:color w:val="auto"/>
                    <w:highlight w:val="none"/>
                  </w:rPr>
                  <m:t>C</m:t>
                </m:r>
                <m:ctrlPr>
                  <w:rPr>
                    <w:rFonts w:ascii="Cambria Math" w:hAnsi="Cambria Math"/>
                    <w:i/>
                    <w:color w:val="auto"/>
                    <w:highlight w:val="none"/>
                  </w:rPr>
                </m:ctrlPr>
              </m:e>
              <m:sub>
                <m:r>
                  <w:rPr>
                    <w:rFonts w:ascii="Cambria Math" w:hAnsi="Cambria Math"/>
                    <w:color w:val="auto"/>
                    <w:highlight w:val="none"/>
                  </w:rPr>
                  <m:t>vx</m:t>
                </m:r>
                <m:ctrlPr>
                  <w:rPr>
                    <w:rFonts w:ascii="Cambria Math" w:hAnsi="Cambria Math"/>
                    <w:i/>
                    <w:color w:val="auto"/>
                    <w:highlight w:val="none"/>
                  </w:rPr>
                </m:ctrlPr>
              </m:sub>
            </m:sSub>
            <m:ctrlPr>
              <w:rPr>
                <w:rFonts w:ascii="Cambria Math" w:hAnsi="Cambria Math"/>
                <w:i/>
                <w:color w:val="auto"/>
                <w:highlight w:val="none"/>
              </w:rPr>
            </m:ctrlPr>
          </m:num>
          <m:den>
            <m:sSup>
              <m:sSupPr>
                <m:ctrlPr>
                  <w:rPr>
                    <w:rFonts w:ascii="Cambria Math" w:hAnsi="Cambria Math"/>
                    <w:i/>
                    <w:color w:val="auto"/>
                    <w:highlight w:val="none"/>
                  </w:rPr>
                </m:ctrlPr>
              </m:sSupPr>
              <m:e>
                <m:r>
                  <w:rPr>
                    <w:rFonts w:ascii="Cambria Math" w:hAnsi="Cambria Math"/>
                    <w:color w:val="auto"/>
                    <w:highlight w:val="none"/>
                  </w:rPr>
                  <m:t>a</m:t>
                </m:r>
                <m:ctrlPr>
                  <w:rPr>
                    <w:rFonts w:ascii="Cambria Math" w:hAnsi="Cambria Math"/>
                    <w:i/>
                    <w:color w:val="auto"/>
                    <w:highlight w:val="none"/>
                  </w:rPr>
                </m:ctrlPr>
              </m:e>
              <m:sup>
                <m:r>
                  <w:rPr>
                    <w:rFonts w:ascii="Cambria Math" w:hAnsi="Cambria Math"/>
                    <w:color w:val="auto"/>
                    <w:highlight w:val="none"/>
                  </w:rPr>
                  <m:t>n</m:t>
                </m:r>
                <m:ctrlPr>
                  <w:rPr>
                    <w:rFonts w:ascii="Cambria Math" w:hAnsi="Cambria Math"/>
                    <w:i/>
                    <w:color w:val="auto"/>
                    <w:highlight w:val="none"/>
                  </w:rPr>
                </m:ctrlPr>
              </m:sup>
            </m:sSup>
            <m:r>
              <w:rPr>
                <w:rFonts w:ascii="Cambria Math" w:hAnsi="Cambria Math"/>
                <w:color w:val="auto"/>
                <w:highlight w:val="none"/>
              </w:rPr>
              <m:t>+mlgF</m:t>
            </m:r>
            <m:ctrlPr>
              <w:rPr>
                <w:rFonts w:ascii="Cambria Math" w:hAnsi="Cambria Math"/>
                <w:i/>
                <w:color w:val="auto"/>
                <w:highlight w:val="none"/>
              </w:rPr>
            </m:ctrlPr>
          </m:den>
        </m:f>
      </m:oMath>
      <w:r>
        <w:rPr>
          <w:rFonts w:hint="eastAsia" w:eastAsia="宋体"/>
          <w:color w:val="auto"/>
          <w:highlight w:val="none"/>
          <w:lang w:eastAsia="zh-CN"/>
        </w:rPr>
        <w:drawing>
          <wp:inline distT="0" distB="0" distL="114300" distR="114300">
            <wp:extent cx="1800225" cy="619760"/>
            <wp:effectExtent l="0" t="0" r="9525" b="8890"/>
            <wp:docPr id="109" name="图片 109" descr="1660296287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1660296287542"/>
                    <pic:cNvPicPr>
                      <a:picLocks noChangeAspect="1"/>
                    </pic:cNvPicPr>
                  </pic:nvPicPr>
                  <pic:blipFill>
                    <a:blip r:embed="rId20"/>
                    <a:stretch>
                      <a:fillRect/>
                    </a:stretch>
                  </pic:blipFill>
                  <pic:spPr>
                    <a:xfrm>
                      <a:off x="0" y="0"/>
                      <a:ext cx="1800225" cy="619760"/>
                    </a:xfrm>
                    <a:prstGeom prst="rect">
                      <a:avLst/>
                    </a:prstGeom>
                  </pic:spPr>
                </pic:pic>
              </a:graphicData>
            </a:graphic>
          </wp:inline>
        </w:drawing>
      </w:r>
    </w:p>
    <w:p>
      <w:pPr>
        <w:ind w:firstLine="480"/>
        <w:rPr>
          <w:color w:val="auto"/>
          <w:highlight w:val="none"/>
        </w:rPr>
      </w:pPr>
      <w:r>
        <w:rPr>
          <w:rFonts w:hint="eastAsia"/>
          <w:color w:val="auto"/>
          <w:highlight w:val="none"/>
        </w:rPr>
        <w:t>式中:C</w:t>
      </w:r>
      <w:r>
        <w:rPr>
          <w:rFonts w:hint="eastAsia"/>
          <w:color w:val="auto"/>
          <w:highlight w:val="none"/>
          <w:vertAlign w:val="subscript"/>
        </w:rPr>
        <w:t>vy</w:t>
      </w:r>
      <w:r>
        <w:rPr>
          <w:rFonts w:hint="eastAsia"/>
          <w:color w:val="auto"/>
          <w:highlight w:val="none"/>
        </w:rPr>
        <w:t>——年径流变差系数；</w:t>
      </w:r>
    </w:p>
    <w:p>
      <w:pPr>
        <w:ind w:firstLine="480"/>
        <w:rPr>
          <w:color w:val="auto"/>
          <w:highlight w:val="none"/>
        </w:rPr>
      </w:pPr>
      <w:r>
        <w:rPr>
          <w:rFonts w:hint="eastAsia"/>
          <w:color w:val="auto"/>
          <w:highlight w:val="none"/>
        </w:rPr>
        <w:t>C</w:t>
      </w:r>
      <w:r>
        <w:rPr>
          <w:rFonts w:hint="eastAsia"/>
          <w:color w:val="auto"/>
          <w:highlight w:val="none"/>
          <w:vertAlign w:val="subscript"/>
        </w:rPr>
        <w:t>vx</w:t>
      </w:r>
      <w:r>
        <w:rPr>
          <w:rFonts w:hint="eastAsia"/>
          <w:color w:val="auto"/>
          <w:highlight w:val="none"/>
        </w:rPr>
        <w:t>——年降雨量变差系数，C</w:t>
      </w:r>
      <w:r>
        <w:rPr>
          <w:rFonts w:hint="eastAsia"/>
          <w:color w:val="auto"/>
          <w:highlight w:val="none"/>
          <w:vertAlign w:val="subscript"/>
        </w:rPr>
        <w:t>vx</w:t>
      </w:r>
      <w:r>
        <w:rPr>
          <w:rFonts w:hint="eastAsia"/>
          <w:color w:val="auto"/>
          <w:highlight w:val="none"/>
        </w:rPr>
        <w:t>=0.</w:t>
      </w:r>
      <w:r>
        <w:rPr>
          <w:color w:val="auto"/>
          <w:highlight w:val="none"/>
        </w:rPr>
        <w:t>19</w:t>
      </w:r>
      <w:r>
        <w:rPr>
          <w:rFonts w:hint="eastAsia"/>
          <w:color w:val="auto"/>
          <w:highlight w:val="none"/>
        </w:rPr>
        <w:t>；</w:t>
      </w:r>
    </w:p>
    <w:p>
      <w:pPr>
        <w:ind w:firstLine="480"/>
        <w:rPr>
          <w:color w:val="auto"/>
          <w:highlight w:val="none"/>
        </w:rPr>
      </w:pPr>
      <w:r>
        <w:rPr>
          <w:rFonts w:hint="eastAsia"/>
          <w:color w:val="auto"/>
          <w:highlight w:val="none"/>
        </w:rPr>
        <w:t>α——年径流系数，α=0.651；</w:t>
      </w:r>
    </w:p>
    <w:p>
      <w:pPr>
        <w:ind w:firstLine="480"/>
        <w:rPr>
          <w:color w:val="auto"/>
          <w:highlight w:val="none"/>
        </w:rPr>
      </w:pPr>
      <w:r>
        <w:rPr>
          <w:rFonts w:hint="eastAsia"/>
          <w:color w:val="auto"/>
          <w:highlight w:val="none"/>
        </w:rPr>
        <w:t>F——集雨面积，F=</w:t>
      </w:r>
      <w:r>
        <w:rPr>
          <w:rFonts w:hint="eastAsia"/>
          <w:color w:val="auto"/>
          <w:highlight w:val="none"/>
          <w:lang w:val="en-US" w:eastAsia="zh-CN"/>
        </w:rPr>
        <w:t>34.8</w:t>
      </w:r>
      <w:r>
        <w:rPr>
          <w:rFonts w:hint="eastAsia"/>
          <w:color w:val="auto"/>
          <w:highlight w:val="none"/>
        </w:rPr>
        <w:t>k</w:t>
      </w:r>
      <w:r>
        <w:rPr>
          <w:rFonts w:hint="eastAsia"/>
          <w:color w:val="auto"/>
          <w:highlight w:val="none"/>
          <w:lang w:eastAsia="zh-CN"/>
        </w:rPr>
        <w:t>m²</w:t>
      </w:r>
      <w:r>
        <w:rPr>
          <w:rFonts w:hint="eastAsia"/>
          <w:color w:val="auto"/>
          <w:highlight w:val="none"/>
        </w:rPr>
        <w:t>；</w:t>
      </w:r>
    </w:p>
    <w:p>
      <w:pPr>
        <w:ind w:firstLine="480"/>
        <w:rPr>
          <w:color w:val="auto"/>
          <w:highlight w:val="none"/>
        </w:rPr>
      </w:pPr>
      <w:r>
        <w:rPr>
          <w:rFonts w:hint="eastAsia"/>
          <w:color w:val="auto"/>
          <w:highlight w:val="none"/>
        </w:rPr>
        <w:t>n、m——地区性经验系数，n采用0.6，m采用0.06；</w:t>
      </w:r>
    </w:p>
    <w:p>
      <w:pPr>
        <w:ind w:firstLine="480"/>
        <w:rPr>
          <w:color w:val="auto"/>
          <w:highlight w:val="none"/>
        </w:rPr>
      </w:pPr>
      <w:r>
        <w:rPr>
          <w:rFonts w:hint="eastAsia"/>
          <w:color w:val="auto"/>
          <w:highlight w:val="none"/>
        </w:rPr>
        <w:t>Γ——综合影响系数，大陆采用1.4；</w:t>
      </w:r>
    </w:p>
    <w:p>
      <w:pPr>
        <w:ind w:firstLine="480"/>
        <w:rPr>
          <w:color w:val="auto"/>
          <w:highlight w:val="none"/>
        </w:rPr>
      </w:pPr>
      <w:r>
        <w:rPr>
          <w:rFonts w:hint="eastAsia"/>
          <w:color w:val="auto"/>
          <w:highlight w:val="none"/>
        </w:rPr>
        <w:t>代入已知数据计得：Cvy=0.29</w:t>
      </w:r>
    </w:p>
    <w:p>
      <w:pPr>
        <w:ind w:firstLine="480"/>
        <w:rPr>
          <w:color w:val="auto"/>
          <w:highlight w:val="none"/>
        </w:rPr>
      </w:pPr>
      <w:r>
        <w:rPr>
          <w:rFonts w:hint="eastAsia"/>
          <w:color w:val="auto"/>
          <w:highlight w:val="none"/>
        </w:rPr>
        <w:t>根据降雨参数</w:t>
      </w:r>
      <m:oMath>
        <m:acc>
          <m:accPr>
            <m:chr m:val="̅"/>
            <m:ctrlPr>
              <w:rPr>
                <w:rFonts w:ascii="Cambria Math" w:hAnsi="Cambria Math"/>
                <w:i/>
                <w:color w:val="auto"/>
                <w:highlight w:val="none"/>
              </w:rPr>
            </m:ctrlPr>
          </m:accPr>
          <m:e>
            <m:r>
              <w:rPr>
                <w:rFonts w:ascii="Cambria Math" w:hAnsi="Cambria Math"/>
                <w:color w:val="auto"/>
                <w:highlight w:val="none"/>
              </w:rPr>
              <m:t>H</m:t>
            </m:r>
            <m:ctrlPr>
              <w:rPr>
                <w:rFonts w:ascii="Cambria Math" w:hAnsi="Cambria Math"/>
                <w:i/>
                <w:color w:val="auto"/>
                <w:highlight w:val="none"/>
              </w:rPr>
            </m:ctrlPr>
          </m:e>
        </m:acc>
      </m:oMath>
      <w:r>
        <w:rPr>
          <w:rFonts w:hint="eastAsia"/>
          <w:color w:val="auto"/>
          <w:highlight w:val="none"/>
        </w:rPr>
        <w:t>=1904.09mm、C</w:t>
      </w:r>
      <w:r>
        <w:rPr>
          <w:rFonts w:hint="eastAsia"/>
          <w:color w:val="auto"/>
          <w:highlight w:val="none"/>
          <w:vertAlign w:val="subscript"/>
        </w:rPr>
        <w:t>vx</w:t>
      </w:r>
      <w:r>
        <w:rPr>
          <w:rFonts w:hint="eastAsia"/>
          <w:color w:val="auto"/>
          <w:highlight w:val="none"/>
        </w:rPr>
        <w:t>=0.19、R=2，年径流参数</w:t>
      </w:r>
      <m:oMath>
        <m:acc>
          <m:accPr>
            <m:chr m:val="̅"/>
            <m:ctrlPr>
              <w:rPr>
                <w:rFonts w:ascii="Cambria Math" w:hAnsi="Cambria Math"/>
                <w:i/>
                <w:color w:val="auto"/>
                <w:highlight w:val="none"/>
              </w:rPr>
            </m:ctrlPr>
          </m:accPr>
          <m:e>
            <m:r>
              <w:rPr>
                <w:rFonts w:ascii="Cambria Math" w:hAnsi="Cambria Math"/>
                <w:color w:val="auto"/>
                <w:highlight w:val="none"/>
              </w:rPr>
              <m:t>ℎ</m:t>
            </m:r>
            <m:ctrlPr>
              <w:rPr>
                <w:rFonts w:ascii="Cambria Math" w:hAnsi="Cambria Math"/>
                <w:i/>
                <w:color w:val="auto"/>
                <w:highlight w:val="none"/>
              </w:rPr>
            </m:ctrlPr>
          </m:e>
        </m:acc>
      </m:oMath>
      <w:r>
        <w:rPr>
          <w:rFonts w:hint="eastAsia"/>
          <w:color w:val="auto"/>
          <w:highlight w:val="none"/>
        </w:rPr>
        <w:t>=1240mm、C</w:t>
      </w:r>
      <w:r>
        <w:rPr>
          <w:rFonts w:hint="eastAsia"/>
          <w:color w:val="auto"/>
          <w:highlight w:val="none"/>
          <w:vertAlign w:val="subscript"/>
        </w:rPr>
        <w:t>vy</w:t>
      </w:r>
      <w:r>
        <w:rPr>
          <w:rFonts w:hint="eastAsia"/>
          <w:color w:val="auto"/>
          <w:highlight w:val="none"/>
        </w:rPr>
        <w:t>=0.29、R=2列表计算P~（H</w:t>
      </w:r>
      <w:r>
        <w:rPr>
          <w:rFonts w:hint="eastAsia"/>
          <w:color w:val="auto"/>
          <w:highlight w:val="none"/>
          <w:vertAlign w:val="subscript"/>
        </w:rPr>
        <w:t>p</w:t>
      </w:r>
      <w:r>
        <w:rPr>
          <w:rFonts w:hint="eastAsia"/>
          <w:color w:val="auto"/>
          <w:highlight w:val="none"/>
        </w:rPr>
        <w:t>·h</w:t>
      </w:r>
      <w:r>
        <w:rPr>
          <w:rFonts w:hint="eastAsia"/>
          <w:color w:val="auto"/>
          <w:highlight w:val="none"/>
          <w:vertAlign w:val="subscript"/>
        </w:rPr>
        <w:t>p</w:t>
      </w:r>
      <w:r>
        <w:rPr>
          <w:rFonts w:hint="eastAsia"/>
          <w:color w:val="auto"/>
          <w:highlight w:val="none"/>
        </w:rPr>
        <w:t>）关系见下表。</w:t>
      </w:r>
    </w:p>
    <w:p>
      <w:pPr>
        <w:pStyle w:val="264"/>
        <w:numPr>
          <w:ilvl w:val="4"/>
          <w:numId w:val="0"/>
        </w:numPr>
        <w:ind w:left="480" w:leftChars="0"/>
        <w:jc w:val="center"/>
        <w:rPr>
          <w:rFonts w:eastAsia="黑体"/>
          <w:b w:val="0"/>
          <w:color w:val="auto"/>
          <w:highlight w:val="none"/>
        </w:rPr>
      </w:pPr>
      <w:r>
        <w:rPr>
          <w:rFonts w:hint="eastAsia" w:eastAsia="黑体"/>
          <w:b w:val="0"/>
          <w:color w:val="auto"/>
          <w:highlight w:val="none"/>
          <w:lang w:eastAsia="zh-CN"/>
        </w:rPr>
        <w:t>表</w:t>
      </w:r>
      <w:r>
        <w:rPr>
          <w:rFonts w:hint="eastAsia" w:eastAsia="黑体"/>
          <w:b w:val="0"/>
          <w:color w:val="auto"/>
          <w:highlight w:val="none"/>
          <w:lang w:val="en-US" w:eastAsia="zh-CN"/>
        </w:rPr>
        <w:t xml:space="preserve">2-4 </w:t>
      </w:r>
      <w:r>
        <w:rPr>
          <w:rFonts w:hint="eastAsia" w:eastAsia="黑体"/>
          <w:b w:val="0"/>
          <w:color w:val="auto"/>
          <w:highlight w:val="none"/>
        </w:rPr>
        <w:t>同频率年降雨~年径流关系计算表（mm）</w:t>
      </w:r>
    </w:p>
    <w:tbl>
      <w:tblPr>
        <w:tblStyle w:val="47"/>
        <w:tblW w:w="8522" w:type="dxa"/>
        <w:tblInd w:w="0" w:type="dxa"/>
        <w:tblLayout w:type="fixed"/>
        <w:tblCellMar>
          <w:top w:w="0" w:type="dxa"/>
          <w:left w:w="108" w:type="dxa"/>
          <w:bottom w:w="0" w:type="dxa"/>
          <w:right w:w="108" w:type="dxa"/>
        </w:tblCellMar>
      </w:tblPr>
      <w:tblGrid>
        <w:gridCol w:w="1865"/>
        <w:gridCol w:w="952"/>
        <w:gridCol w:w="951"/>
        <w:gridCol w:w="951"/>
        <w:gridCol w:w="951"/>
        <w:gridCol w:w="951"/>
        <w:gridCol w:w="952"/>
        <w:gridCol w:w="949"/>
      </w:tblGrid>
      <w:tr>
        <w:tblPrEx>
          <w:tblCellMar>
            <w:top w:w="0" w:type="dxa"/>
            <w:left w:w="108" w:type="dxa"/>
            <w:bottom w:w="0" w:type="dxa"/>
            <w:right w:w="108" w:type="dxa"/>
          </w:tblCellMar>
        </w:tblPrEx>
        <w:trPr>
          <w:trHeight w:val="428" w:hRule="atLeast"/>
        </w:trPr>
        <w:tc>
          <w:tcPr>
            <w:tcW w:w="1865" w:type="dxa"/>
            <w:vMerge w:val="restart"/>
            <w:tcBorders>
              <w:top w:val="single" w:color="auto" w:sz="4" w:space="0"/>
              <w:left w:val="single" w:color="auto" w:sz="4" w:space="0"/>
              <w:bottom w:val="single" w:color="auto" w:sz="4" w:space="0"/>
              <w:right w:val="single" w:color="auto" w:sz="4" w:space="0"/>
              <w:tl2br w:val="single" w:color="auto" w:sz="4" w:space="0"/>
            </w:tcBorders>
            <w:shd w:val="clear" w:color="auto" w:fill="auto"/>
            <w:vAlign w:val="center"/>
          </w:tcPr>
          <w:p>
            <w:pPr>
              <w:widowControl/>
              <w:spacing w:line="240" w:lineRule="atLeast"/>
              <w:ind w:firstLine="1100" w:firstLineChars="500"/>
              <w:jc w:val="left"/>
              <w:rPr>
                <w:rFonts w:hint="eastAsia" w:eastAsia="宋体"/>
                <w:color w:val="auto"/>
                <w:kern w:val="0"/>
                <w:sz w:val="22"/>
                <w:szCs w:val="22"/>
                <w:highlight w:val="none"/>
                <w:lang w:eastAsia="zh-CN"/>
              </w:rPr>
            </w:pPr>
            <w:r>
              <w:rPr>
                <w:color w:val="auto"/>
                <w:kern w:val="0"/>
                <w:sz w:val="22"/>
                <w:szCs w:val="22"/>
                <w:highlight w:val="none"/>
              </w:rPr>
              <w:t>频率</w:t>
            </w:r>
          </w:p>
          <w:p>
            <w:pPr>
              <w:widowControl/>
              <w:spacing w:line="240" w:lineRule="atLeast"/>
              <w:ind w:firstLine="1100" w:firstLineChars="500"/>
              <w:jc w:val="left"/>
              <w:rPr>
                <w:color w:val="auto"/>
                <w:kern w:val="0"/>
                <w:sz w:val="22"/>
                <w:szCs w:val="22"/>
                <w:highlight w:val="none"/>
              </w:rPr>
            </w:pPr>
            <w:r>
              <w:rPr>
                <w:color w:val="auto"/>
                <w:kern w:val="0"/>
                <w:sz w:val="22"/>
                <w:szCs w:val="22"/>
                <w:highlight w:val="none"/>
              </w:rPr>
              <w:t>参数</w:t>
            </w:r>
          </w:p>
        </w:tc>
        <w:tc>
          <w:tcPr>
            <w:tcW w:w="952"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P（%）</w:t>
            </w:r>
          </w:p>
        </w:tc>
        <w:tc>
          <w:tcPr>
            <w:tcW w:w="95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10</w:t>
            </w:r>
          </w:p>
        </w:tc>
        <w:tc>
          <w:tcPr>
            <w:tcW w:w="95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20</w:t>
            </w:r>
          </w:p>
        </w:tc>
        <w:tc>
          <w:tcPr>
            <w:tcW w:w="95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25</w:t>
            </w:r>
          </w:p>
        </w:tc>
        <w:tc>
          <w:tcPr>
            <w:tcW w:w="95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50</w:t>
            </w:r>
          </w:p>
        </w:tc>
        <w:tc>
          <w:tcPr>
            <w:tcW w:w="952"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75</w:t>
            </w:r>
          </w:p>
        </w:tc>
        <w:tc>
          <w:tcPr>
            <w:tcW w:w="949"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90</w:t>
            </w:r>
          </w:p>
        </w:tc>
      </w:tr>
      <w:tr>
        <w:tblPrEx>
          <w:tblCellMar>
            <w:top w:w="0" w:type="dxa"/>
            <w:left w:w="108" w:type="dxa"/>
            <w:bottom w:w="0" w:type="dxa"/>
            <w:right w:w="108" w:type="dxa"/>
          </w:tblCellMar>
        </w:tblPrEx>
        <w:trPr>
          <w:trHeight w:val="428" w:hRule="atLeast"/>
        </w:trPr>
        <w:tc>
          <w:tcPr>
            <w:tcW w:w="1865"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tLeast"/>
              <w:ind w:firstLine="0" w:firstLineChars="0"/>
              <w:jc w:val="left"/>
              <w:rPr>
                <w:color w:val="auto"/>
                <w:kern w:val="0"/>
                <w:sz w:val="22"/>
                <w:szCs w:val="22"/>
                <w:highlight w:val="none"/>
              </w:rPr>
            </w:pPr>
          </w:p>
        </w:tc>
        <w:tc>
          <w:tcPr>
            <w:tcW w:w="952" w:type="dxa"/>
            <w:vMerge w:val="continue"/>
            <w:tcBorders>
              <w:top w:val="single" w:color="auto" w:sz="4" w:space="0"/>
              <w:left w:val="single" w:color="auto" w:sz="4" w:space="0"/>
              <w:bottom w:val="single" w:color="auto" w:sz="4" w:space="0"/>
              <w:right w:val="single" w:color="auto" w:sz="4" w:space="0"/>
            </w:tcBorders>
            <w:vAlign w:val="center"/>
          </w:tcPr>
          <w:p>
            <w:pPr>
              <w:pStyle w:val="185"/>
              <w:spacing w:line="240" w:lineRule="atLeast"/>
              <w:rPr>
                <w:color w:val="auto"/>
                <w:highlight w:val="none"/>
              </w:rPr>
            </w:pPr>
          </w:p>
        </w:tc>
        <w:tc>
          <w:tcPr>
            <w:tcW w:w="951" w:type="dxa"/>
            <w:vMerge w:val="continue"/>
            <w:tcBorders>
              <w:top w:val="single" w:color="auto" w:sz="4" w:space="0"/>
              <w:left w:val="single" w:color="auto" w:sz="4" w:space="0"/>
              <w:bottom w:val="single" w:color="auto" w:sz="4" w:space="0"/>
              <w:right w:val="single" w:color="auto" w:sz="4" w:space="0"/>
            </w:tcBorders>
            <w:vAlign w:val="center"/>
          </w:tcPr>
          <w:p>
            <w:pPr>
              <w:pStyle w:val="185"/>
              <w:spacing w:line="240" w:lineRule="atLeast"/>
              <w:rPr>
                <w:color w:val="auto"/>
                <w:highlight w:val="none"/>
              </w:rPr>
            </w:pPr>
          </w:p>
        </w:tc>
        <w:tc>
          <w:tcPr>
            <w:tcW w:w="951" w:type="dxa"/>
            <w:vMerge w:val="continue"/>
            <w:tcBorders>
              <w:top w:val="single" w:color="auto" w:sz="4" w:space="0"/>
              <w:left w:val="single" w:color="auto" w:sz="4" w:space="0"/>
              <w:bottom w:val="single" w:color="auto" w:sz="4" w:space="0"/>
              <w:right w:val="single" w:color="auto" w:sz="4" w:space="0"/>
            </w:tcBorders>
            <w:vAlign w:val="center"/>
          </w:tcPr>
          <w:p>
            <w:pPr>
              <w:pStyle w:val="185"/>
              <w:spacing w:line="240" w:lineRule="atLeast"/>
              <w:rPr>
                <w:color w:val="auto"/>
                <w:highlight w:val="none"/>
              </w:rPr>
            </w:pPr>
          </w:p>
        </w:tc>
        <w:tc>
          <w:tcPr>
            <w:tcW w:w="951" w:type="dxa"/>
            <w:vMerge w:val="continue"/>
            <w:tcBorders>
              <w:top w:val="single" w:color="auto" w:sz="4" w:space="0"/>
              <w:left w:val="single" w:color="auto" w:sz="4" w:space="0"/>
              <w:bottom w:val="single" w:color="auto" w:sz="4" w:space="0"/>
              <w:right w:val="single" w:color="auto" w:sz="4" w:space="0"/>
            </w:tcBorders>
            <w:vAlign w:val="center"/>
          </w:tcPr>
          <w:p>
            <w:pPr>
              <w:pStyle w:val="185"/>
              <w:spacing w:line="240" w:lineRule="atLeast"/>
              <w:rPr>
                <w:color w:val="auto"/>
                <w:highlight w:val="none"/>
              </w:rPr>
            </w:pPr>
          </w:p>
        </w:tc>
        <w:tc>
          <w:tcPr>
            <w:tcW w:w="951" w:type="dxa"/>
            <w:vMerge w:val="continue"/>
            <w:tcBorders>
              <w:top w:val="single" w:color="auto" w:sz="4" w:space="0"/>
              <w:left w:val="single" w:color="auto" w:sz="4" w:space="0"/>
              <w:bottom w:val="single" w:color="auto" w:sz="4" w:space="0"/>
              <w:right w:val="single" w:color="auto" w:sz="4" w:space="0"/>
            </w:tcBorders>
            <w:vAlign w:val="center"/>
          </w:tcPr>
          <w:p>
            <w:pPr>
              <w:pStyle w:val="185"/>
              <w:spacing w:line="240" w:lineRule="atLeast"/>
              <w:rPr>
                <w:color w:val="auto"/>
                <w:highlight w:val="none"/>
              </w:rPr>
            </w:pPr>
          </w:p>
        </w:tc>
        <w:tc>
          <w:tcPr>
            <w:tcW w:w="952" w:type="dxa"/>
            <w:vMerge w:val="continue"/>
            <w:tcBorders>
              <w:top w:val="single" w:color="auto" w:sz="4" w:space="0"/>
              <w:left w:val="single" w:color="auto" w:sz="4" w:space="0"/>
              <w:bottom w:val="single" w:color="auto" w:sz="4" w:space="0"/>
              <w:right w:val="single" w:color="auto" w:sz="4" w:space="0"/>
            </w:tcBorders>
            <w:vAlign w:val="center"/>
          </w:tcPr>
          <w:p>
            <w:pPr>
              <w:pStyle w:val="185"/>
              <w:spacing w:line="240" w:lineRule="atLeast"/>
              <w:rPr>
                <w:color w:val="auto"/>
                <w:highlight w:val="none"/>
              </w:rPr>
            </w:pPr>
          </w:p>
        </w:tc>
        <w:tc>
          <w:tcPr>
            <w:tcW w:w="949" w:type="dxa"/>
            <w:vMerge w:val="continue"/>
            <w:tcBorders>
              <w:top w:val="single" w:color="auto" w:sz="4" w:space="0"/>
              <w:left w:val="single" w:color="auto" w:sz="4" w:space="0"/>
              <w:bottom w:val="single" w:color="auto" w:sz="4" w:space="0"/>
              <w:right w:val="single" w:color="auto" w:sz="4" w:space="0"/>
            </w:tcBorders>
            <w:vAlign w:val="center"/>
          </w:tcPr>
          <w:p>
            <w:pPr>
              <w:pStyle w:val="185"/>
              <w:spacing w:line="240" w:lineRule="atLeast"/>
              <w:rPr>
                <w:color w:val="auto"/>
                <w:highlight w:val="none"/>
              </w:rPr>
            </w:pPr>
          </w:p>
        </w:tc>
      </w:tr>
      <w:tr>
        <w:tblPrEx>
          <w:tblCellMar>
            <w:top w:w="0" w:type="dxa"/>
            <w:left w:w="108" w:type="dxa"/>
            <w:bottom w:w="0" w:type="dxa"/>
            <w:right w:w="108" w:type="dxa"/>
          </w:tblCellMar>
        </w:tblPrEx>
        <w:trPr>
          <w:trHeight w:val="270" w:hRule="atLeast"/>
        </w:trPr>
        <w:tc>
          <w:tcPr>
            <w:tcW w:w="186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年降雨</w:t>
            </w:r>
          </w:p>
          <w:p>
            <w:pPr>
              <w:pStyle w:val="185"/>
              <w:spacing w:line="240" w:lineRule="atLeast"/>
              <w:rPr>
                <w:color w:val="auto"/>
                <w:highlight w:val="none"/>
              </w:rPr>
            </w:pPr>
            <m:oMath>
              <m:acc>
                <m:accPr>
                  <m:chr m:val="̅"/>
                  <m:ctrlPr>
                    <w:rPr>
                      <w:rFonts w:ascii="Cambria Math" w:hAnsi="Cambria Math"/>
                      <w:i/>
                      <w:color w:val="auto"/>
                      <w:highlight w:val="none"/>
                    </w:rPr>
                  </m:ctrlPr>
                </m:accPr>
                <m:e>
                  <m:r>
                    <w:rPr>
                      <w:rFonts w:ascii="Cambria Math" w:hAnsi="Cambria Math"/>
                      <w:color w:val="auto"/>
                      <w:highlight w:val="none"/>
                    </w:rPr>
                    <m:t>H</m:t>
                  </m:r>
                  <m:ctrlPr>
                    <w:rPr>
                      <w:rFonts w:ascii="Cambria Math" w:hAnsi="Cambria Math"/>
                      <w:i/>
                      <w:color w:val="auto"/>
                      <w:highlight w:val="none"/>
                    </w:rPr>
                  </m:ctrlPr>
                </m:e>
              </m:acc>
            </m:oMath>
            <w:r>
              <w:rPr>
                <w:color w:val="auto"/>
                <w:highlight w:val="none"/>
              </w:rPr>
              <w:t>=1904.09mm</w:t>
            </w:r>
          </w:p>
          <w:p>
            <w:pPr>
              <w:pStyle w:val="185"/>
              <w:spacing w:line="240" w:lineRule="atLeast"/>
              <w:rPr>
                <w:color w:val="auto"/>
                <w:highlight w:val="none"/>
              </w:rPr>
            </w:pPr>
            <w:r>
              <w:rPr>
                <w:color w:val="auto"/>
                <w:highlight w:val="none"/>
              </w:rPr>
              <w:t>C</w:t>
            </w:r>
            <w:r>
              <w:rPr>
                <w:color w:val="auto"/>
                <w:highlight w:val="none"/>
                <w:vertAlign w:val="subscript"/>
              </w:rPr>
              <w:t>vx</w:t>
            </w:r>
            <w:r>
              <w:rPr>
                <w:color w:val="auto"/>
                <w:highlight w:val="none"/>
              </w:rPr>
              <w:t>=0.19</w:t>
            </w:r>
          </w:p>
        </w:tc>
        <w:tc>
          <w:tcPr>
            <w:tcW w:w="952"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Kpx</w:t>
            </w:r>
          </w:p>
        </w:tc>
        <w:tc>
          <w:tcPr>
            <w:tcW w:w="951"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1.25</w:t>
            </w:r>
          </w:p>
        </w:tc>
        <w:tc>
          <w:tcPr>
            <w:tcW w:w="951"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1.16</w:t>
            </w:r>
          </w:p>
        </w:tc>
        <w:tc>
          <w:tcPr>
            <w:tcW w:w="951"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0.85</w:t>
            </w:r>
          </w:p>
        </w:tc>
        <w:tc>
          <w:tcPr>
            <w:tcW w:w="951"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0.99</w:t>
            </w:r>
          </w:p>
        </w:tc>
        <w:tc>
          <w:tcPr>
            <w:tcW w:w="952"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0.87</w:t>
            </w:r>
          </w:p>
        </w:tc>
        <w:tc>
          <w:tcPr>
            <w:tcW w:w="949"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0.77</w:t>
            </w:r>
          </w:p>
        </w:tc>
      </w:tr>
      <w:tr>
        <w:tblPrEx>
          <w:tblCellMar>
            <w:top w:w="0" w:type="dxa"/>
            <w:left w:w="108" w:type="dxa"/>
            <w:bottom w:w="0" w:type="dxa"/>
            <w:right w:w="108" w:type="dxa"/>
          </w:tblCellMar>
        </w:tblPrEx>
        <w:trPr>
          <w:trHeight w:val="270" w:hRule="atLeast"/>
        </w:trPr>
        <w:tc>
          <w:tcPr>
            <w:tcW w:w="186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85"/>
              <w:spacing w:line="240" w:lineRule="atLeast"/>
              <w:rPr>
                <w:color w:val="auto"/>
                <w:highlight w:val="none"/>
              </w:rPr>
            </w:pPr>
          </w:p>
        </w:tc>
        <w:tc>
          <w:tcPr>
            <w:tcW w:w="952"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Hp</w:t>
            </w:r>
          </w:p>
        </w:tc>
        <w:tc>
          <w:tcPr>
            <w:tcW w:w="951"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2379.94</w:t>
            </w:r>
          </w:p>
        </w:tc>
        <w:tc>
          <w:tcPr>
            <w:tcW w:w="951"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2199.99</w:t>
            </w:r>
          </w:p>
        </w:tc>
        <w:tc>
          <w:tcPr>
            <w:tcW w:w="951"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1620.92</w:t>
            </w:r>
          </w:p>
        </w:tc>
        <w:tc>
          <w:tcPr>
            <w:tcW w:w="951"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1881.23</w:t>
            </w:r>
          </w:p>
        </w:tc>
        <w:tc>
          <w:tcPr>
            <w:tcW w:w="952"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1649.23</w:t>
            </w:r>
          </w:p>
        </w:tc>
        <w:tc>
          <w:tcPr>
            <w:tcW w:w="949"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1457.65</w:t>
            </w:r>
          </w:p>
        </w:tc>
      </w:tr>
      <w:tr>
        <w:tblPrEx>
          <w:tblCellMar>
            <w:top w:w="0" w:type="dxa"/>
            <w:left w:w="108" w:type="dxa"/>
            <w:bottom w:w="0" w:type="dxa"/>
            <w:right w:w="108" w:type="dxa"/>
          </w:tblCellMar>
        </w:tblPrEx>
        <w:trPr>
          <w:trHeight w:val="270" w:hRule="atLeast"/>
        </w:trPr>
        <w:tc>
          <w:tcPr>
            <w:tcW w:w="186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年径流</w:t>
            </w:r>
          </w:p>
          <w:p>
            <w:pPr>
              <w:pStyle w:val="185"/>
              <w:spacing w:line="240" w:lineRule="atLeast"/>
              <w:rPr>
                <w:color w:val="auto"/>
                <w:highlight w:val="none"/>
              </w:rPr>
            </w:pPr>
            <m:oMath>
              <m:acc>
                <m:accPr>
                  <m:chr m:val="̅"/>
                  <m:ctrlPr>
                    <w:rPr>
                      <w:rFonts w:ascii="Cambria Math" w:hAnsi="Cambria Math"/>
                      <w:i/>
                      <w:color w:val="auto"/>
                      <w:sz w:val="24"/>
                      <w:szCs w:val="20"/>
                      <w:highlight w:val="none"/>
                    </w:rPr>
                  </m:ctrlPr>
                </m:accPr>
                <m:e>
                  <m:r>
                    <w:rPr>
                      <w:rFonts w:ascii="Cambria Math" w:hAnsi="Cambria Math"/>
                      <w:color w:val="auto"/>
                      <w:highlight w:val="none"/>
                    </w:rPr>
                    <m:t>ℎ</m:t>
                  </m:r>
                  <m:ctrlPr>
                    <w:rPr>
                      <w:rFonts w:ascii="Cambria Math" w:hAnsi="Cambria Math"/>
                      <w:i/>
                      <w:color w:val="auto"/>
                      <w:sz w:val="24"/>
                      <w:szCs w:val="20"/>
                      <w:highlight w:val="none"/>
                    </w:rPr>
                  </m:ctrlPr>
                </m:e>
              </m:acc>
            </m:oMath>
            <w:r>
              <w:rPr>
                <w:color w:val="auto"/>
                <w:highlight w:val="none"/>
              </w:rPr>
              <w:t>=1240mm</w:t>
            </w:r>
          </w:p>
          <w:p>
            <w:pPr>
              <w:pStyle w:val="185"/>
              <w:spacing w:line="240" w:lineRule="atLeast"/>
              <w:rPr>
                <w:color w:val="auto"/>
                <w:highlight w:val="none"/>
              </w:rPr>
            </w:pPr>
            <w:r>
              <w:rPr>
                <w:color w:val="auto"/>
                <w:highlight w:val="none"/>
              </w:rPr>
              <w:t>C</w:t>
            </w:r>
            <w:r>
              <w:rPr>
                <w:color w:val="auto"/>
                <w:highlight w:val="none"/>
                <w:vertAlign w:val="subscript"/>
              </w:rPr>
              <w:t>vy</w:t>
            </w:r>
            <w:r>
              <w:rPr>
                <w:color w:val="auto"/>
                <w:highlight w:val="none"/>
              </w:rPr>
              <w:t>=0.29</w:t>
            </w:r>
          </w:p>
        </w:tc>
        <w:tc>
          <w:tcPr>
            <w:tcW w:w="952"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Kpx</w:t>
            </w:r>
          </w:p>
        </w:tc>
        <w:tc>
          <w:tcPr>
            <w:tcW w:w="951"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1.38</w:t>
            </w:r>
          </w:p>
        </w:tc>
        <w:tc>
          <w:tcPr>
            <w:tcW w:w="951"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1.23</w:t>
            </w:r>
          </w:p>
        </w:tc>
        <w:tc>
          <w:tcPr>
            <w:tcW w:w="951"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1.18</w:t>
            </w:r>
          </w:p>
        </w:tc>
        <w:tc>
          <w:tcPr>
            <w:tcW w:w="951"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0.97</w:t>
            </w:r>
          </w:p>
        </w:tc>
        <w:tc>
          <w:tcPr>
            <w:tcW w:w="952"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0.79</w:t>
            </w:r>
          </w:p>
        </w:tc>
        <w:tc>
          <w:tcPr>
            <w:tcW w:w="949"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0.65</w:t>
            </w:r>
          </w:p>
        </w:tc>
      </w:tr>
      <w:tr>
        <w:tblPrEx>
          <w:tblCellMar>
            <w:top w:w="0" w:type="dxa"/>
            <w:left w:w="108" w:type="dxa"/>
            <w:bottom w:w="0" w:type="dxa"/>
            <w:right w:w="108" w:type="dxa"/>
          </w:tblCellMar>
        </w:tblPrEx>
        <w:trPr>
          <w:trHeight w:val="450" w:hRule="atLeast"/>
        </w:trPr>
        <w:tc>
          <w:tcPr>
            <w:tcW w:w="186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85"/>
              <w:spacing w:line="240" w:lineRule="atLeast"/>
              <w:rPr>
                <w:color w:val="auto"/>
                <w:highlight w:val="none"/>
              </w:rPr>
            </w:pPr>
          </w:p>
        </w:tc>
        <w:tc>
          <w:tcPr>
            <w:tcW w:w="952"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hp</w:t>
            </w:r>
          </w:p>
        </w:tc>
        <w:tc>
          <w:tcPr>
            <w:tcW w:w="951"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1715.69</w:t>
            </w:r>
          </w:p>
        </w:tc>
        <w:tc>
          <w:tcPr>
            <w:tcW w:w="951"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1527.22</w:t>
            </w:r>
          </w:p>
        </w:tc>
        <w:tc>
          <w:tcPr>
            <w:tcW w:w="951"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1459.34</w:t>
            </w:r>
          </w:p>
        </w:tc>
        <w:tc>
          <w:tcPr>
            <w:tcW w:w="951"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1205.65</w:t>
            </w:r>
          </w:p>
        </w:tc>
        <w:tc>
          <w:tcPr>
            <w:tcW w:w="952"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983.29</w:t>
            </w:r>
          </w:p>
        </w:tc>
        <w:tc>
          <w:tcPr>
            <w:tcW w:w="949" w:type="dxa"/>
            <w:tcBorders>
              <w:top w:val="single" w:color="auto" w:sz="4" w:space="0"/>
              <w:left w:val="nil"/>
              <w:bottom w:val="single" w:color="auto" w:sz="4" w:space="0"/>
              <w:right w:val="single" w:color="auto" w:sz="4" w:space="0"/>
            </w:tcBorders>
            <w:shd w:val="clear" w:color="auto" w:fill="auto"/>
            <w:vAlign w:val="center"/>
          </w:tcPr>
          <w:p>
            <w:pPr>
              <w:pStyle w:val="185"/>
              <w:spacing w:line="240" w:lineRule="atLeast"/>
              <w:rPr>
                <w:color w:val="auto"/>
                <w:highlight w:val="none"/>
              </w:rPr>
            </w:pPr>
            <w:r>
              <w:rPr>
                <w:color w:val="auto"/>
                <w:highlight w:val="none"/>
              </w:rPr>
              <w:t>808.58</w:t>
            </w:r>
          </w:p>
        </w:tc>
      </w:tr>
    </w:tbl>
    <w:p>
      <w:pPr>
        <w:ind w:firstLine="480"/>
        <w:rPr>
          <w:color w:val="auto"/>
          <w:highlight w:val="none"/>
        </w:rPr>
      </w:pPr>
      <w:r>
        <w:rPr>
          <w:rFonts w:hint="eastAsia"/>
          <w:color w:val="auto"/>
          <w:highlight w:val="none"/>
        </w:rPr>
        <w:t>由街口站年降雨~年径流深关系曲线图可查得历年年径流深，采用公式W</w:t>
      </w:r>
      <w:r>
        <w:rPr>
          <w:rFonts w:hint="eastAsia"/>
          <w:color w:val="auto"/>
          <w:highlight w:val="none"/>
          <w:vertAlign w:val="subscript"/>
        </w:rPr>
        <w:t>p</w:t>
      </w:r>
      <w:r>
        <w:rPr>
          <w:rFonts w:hint="eastAsia"/>
          <w:color w:val="auto"/>
          <w:highlight w:val="none"/>
        </w:rPr>
        <w:t>=F·h</w:t>
      </w:r>
      <w:r>
        <w:rPr>
          <w:rFonts w:hint="eastAsia"/>
          <w:color w:val="auto"/>
          <w:highlight w:val="none"/>
          <w:vertAlign w:val="subscript"/>
        </w:rPr>
        <w:t>p</w:t>
      </w:r>
      <w:r>
        <w:rPr>
          <w:rFonts w:hint="eastAsia"/>
          <w:color w:val="auto"/>
          <w:highlight w:val="none"/>
        </w:rPr>
        <w:t>(10</w:t>
      </w:r>
      <w:r>
        <w:rPr>
          <w:rFonts w:hint="eastAsia"/>
          <w:color w:val="auto"/>
          <w:highlight w:val="none"/>
          <w:vertAlign w:val="superscript"/>
        </w:rPr>
        <w:t>4</w:t>
      </w:r>
      <w:r>
        <w:rPr>
          <w:rFonts w:hint="eastAsia"/>
          <w:color w:val="auto"/>
          <w:highlight w:val="none"/>
          <w:lang w:eastAsia="zh-CN"/>
        </w:rPr>
        <w:t>m³</w:t>
      </w:r>
      <w:r>
        <w:rPr>
          <w:rFonts w:hint="eastAsia"/>
          <w:color w:val="auto"/>
          <w:highlight w:val="none"/>
        </w:rPr>
        <w:t>)计得</w:t>
      </w:r>
      <w:r>
        <w:rPr>
          <w:rFonts w:hint="eastAsia"/>
          <w:color w:val="auto"/>
          <w:highlight w:val="none"/>
          <w:lang w:eastAsia="zh-CN"/>
        </w:rPr>
        <w:t>灌渠渠首</w:t>
      </w:r>
      <w:r>
        <w:rPr>
          <w:rFonts w:hint="eastAsia"/>
          <w:color w:val="auto"/>
          <w:highlight w:val="none"/>
        </w:rPr>
        <w:t>处的年径流。</w:t>
      </w:r>
    </w:p>
    <w:p>
      <w:pPr>
        <w:ind w:firstLine="480"/>
        <w:rPr>
          <w:color w:val="auto"/>
          <w:highlight w:val="none"/>
        </w:rPr>
      </w:pPr>
      <w:r>
        <w:rPr>
          <w:rFonts w:hint="eastAsia"/>
          <w:color w:val="auto"/>
          <w:highlight w:val="none"/>
        </w:rPr>
        <w:t>本工程的设计代表年设计灌溉频率为P=90%、P=50%、P=10%，对人工湖河坝坝址处历年年径流量进行分析频率计算，可得如下数据：</w:t>
      </w:r>
    </w:p>
    <w:p>
      <w:pPr>
        <w:ind w:firstLine="480"/>
        <w:rPr>
          <w:color w:val="auto"/>
          <w:highlight w:val="none"/>
        </w:rPr>
      </w:pPr>
      <w:r>
        <w:rPr>
          <w:rFonts w:hint="eastAsia"/>
          <w:color w:val="auto"/>
          <w:highlight w:val="none"/>
        </w:rPr>
        <w:t>多年平均年径流量</w:t>
      </w:r>
      <m:oMath>
        <m:acc>
          <m:accPr>
            <m:chr m:val="̅"/>
            <m:ctrlPr>
              <w:rPr>
                <w:rFonts w:ascii="Cambria Math" w:hAnsi="Cambria Math"/>
                <w:i/>
                <w:color w:val="auto"/>
                <w:highlight w:val="none"/>
              </w:rPr>
            </m:ctrlPr>
          </m:accPr>
          <m:e>
            <m:r>
              <w:rPr>
                <w:rFonts w:ascii="Cambria Math" w:hAnsi="Cambria Math"/>
                <w:color w:val="auto"/>
                <w:highlight w:val="none"/>
              </w:rPr>
              <m:t>W</m:t>
            </m:r>
            <m:ctrlPr>
              <w:rPr>
                <w:rFonts w:ascii="Cambria Math" w:hAnsi="Cambria Math"/>
                <w:i/>
                <w:color w:val="auto"/>
                <w:highlight w:val="none"/>
              </w:rPr>
            </m:ctrlPr>
          </m:e>
        </m:acc>
      </m:oMath>
      <w:r>
        <w:rPr>
          <w:rFonts w:hint="eastAsia"/>
          <w:color w:val="auto"/>
          <w:highlight w:val="none"/>
        </w:rPr>
        <w:t>=</w:t>
      </w:r>
      <w:r>
        <w:rPr>
          <w:rFonts w:hint="eastAsia"/>
          <w:color w:val="auto"/>
          <w:highlight w:val="none"/>
          <w:lang w:val="en-US" w:eastAsia="zh-CN"/>
        </w:rPr>
        <w:t>4315.2</w:t>
      </w:r>
      <w:r>
        <w:rPr>
          <w:rFonts w:hint="eastAsia"/>
          <w:color w:val="auto"/>
          <w:highlight w:val="none"/>
        </w:rPr>
        <w:t>×10</w:t>
      </w:r>
      <w:r>
        <w:rPr>
          <w:rFonts w:hint="eastAsia"/>
          <w:color w:val="auto"/>
          <w:highlight w:val="none"/>
          <w:vertAlign w:val="superscript"/>
        </w:rPr>
        <w:t>4</w:t>
      </w:r>
      <w:r>
        <w:rPr>
          <w:rFonts w:hint="eastAsia"/>
          <w:color w:val="auto"/>
          <w:highlight w:val="none"/>
          <w:lang w:eastAsia="zh-CN"/>
        </w:rPr>
        <w:t>m³</w:t>
      </w:r>
    </w:p>
    <w:p>
      <w:pPr>
        <w:ind w:firstLine="480"/>
        <w:rPr>
          <w:color w:val="auto"/>
          <w:highlight w:val="none"/>
        </w:rPr>
      </w:pPr>
      <w:r>
        <w:rPr>
          <w:rFonts w:hint="eastAsia"/>
          <w:color w:val="auto"/>
          <w:highlight w:val="none"/>
        </w:rPr>
        <w:t>多年平均年径流量偏差系数C</w:t>
      </w:r>
      <w:r>
        <w:rPr>
          <w:rFonts w:hint="eastAsia"/>
          <w:color w:val="auto"/>
          <w:highlight w:val="none"/>
          <w:vertAlign w:val="subscript"/>
        </w:rPr>
        <w:t>vy</w:t>
      </w:r>
      <w:r>
        <w:rPr>
          <w:rFonts w:hint="eastAsia"/>
          <w:color w:val="auto"/>
          <w:highlight w:val="none"/>
        </w:rPr>
        <w:t>=0.29</w:t>
      </w:r>
    </w:p>
    <w:p>
      <w:pPr>
        <w:ind w:firstLine="480"/>
        <w:rPr>
          <w:color w:val="auto"/>
          <w:highlight w:val="none"/>
        </w:rPr>
      </w:pPr>
      <w:r>
        <w:rPr>
          <w:rFonts w:hint="eastAsia"/>
          <w:color w:val="auto"/>
          <w:highlight w:val="none"/>
        </w:rPr>
        <w:t>P=90%年径流量：W</w:t>
      </w:r>
      <w:r>
        <w:rPr>
          <w:rFonts w:hint="eastAsia"/>
          <w:color w:val="auto"/>
          <w:highlight w:val="none"/>
          <w:vertAlign w:val="subscript"/>
        </w:rPr>
        <w:t>p</w:t>
      </w:r>
      <w:r>
        <w:rPr>
          <w:rFonts w:hint="eastAsia"/>
          <w:color w:val="auto"/>
          <w:highlight w:val="none"/>
        </w:rPr>
        <w:t>=</w:t>
      </w:r>
      <w:r>
        <w:rPr>
          <w:rFonts w:hint="eastAsia"/>
          <w:color w:val="auto"/>
          <w:highlight w:val="none"/>
          <w:lang w:val="en-US" w:eastAsia="zh-CN"/>
        </w:rPr>
        <w:t>2804.88</w:t>
      </w:r>
      <w:r>
        <w:rPr>
          <w:rFonts w:hint="eastAsia"/>
          <w:color w:val="auto"/>
          <w:highlight w:val="none"/>
        </w:rPr>
        <w:t>×10</w:t>
      </w:r>
      <w:r>
        <w:rPr>
          <w:rFonts w:hint="eastAsia"/>
          <w:color w:val="auto"/>
          <w:highlight w:val="none"/>
          <w:vertAlign w:val="superscript"/>
        </w:rPr>
        <w:t>4</w:t>
      </w:r>
      <w:r>
        <w:rPr>
          <w:rFonts w:hint="eastAsia"/>
          <w:color w:val="auto"/>
          <w:highlight w:val="none"/>
          <w:lang w:eastAsia="zh-CN"/>
        </w:rPr>
        <w:t>m³</w:t>
      </w:r>
    </w:p>
    <w:p>
      <w:pPr>
        <w:ind w:firstLine="480"/>
        <w:rPr>
          <w:color w:val="auto"/>
          <w:highlight w:val="none"/>
        </w:rPr>
      </w:pPr>
      <w:r>
        <w:rPr>
          <w:rFonts w:hint="eastAsia"/>
          <w:color w:val="auto"/>
          <w:highlight w:val="none"/>
        </w:rPr>
        <w:t>P=50%年径流量：W</w:t>
      </w:r>
      <w:r>
        <w:rPr>
          <w:rFonts w:hint="eastAsia"/>
          <w:color w:val="auto"/>
          <w:highlight w:val="none"/>
          <w:vertAlign w:val="subscript"/>
        </w:rPr>
        <w:t>p</w:t>
      </w:r>
      <w:r>
        <w:rPr>
          <w:rFonts w:hint="eastAsia"/>
          <w:color w:val="auto"/>
          <w:highlight w:val="none"/>
        </w:rPr>
        <w:t>=</w:t>
      </w:r>
      <w:r>
        <w:rPr>
          <w:rFonts w:hint="eastAsia"/>
          <w:color w:val="auto"/>
          <w:highlight w:val="none"/>
          <w:lang w:val="en-US" w:eastAsia="zh-CN"/>
        </w:rPr>
        <w:t>4185.74</w:t>
      </w:r>
      <w:r>
        <w:rPr>
          <w:rFonts w:hint="eastAsia"/>
          <w:color w:val="auto"/>
          <w:highlight w:val="none"/>
        </w:rPr>
        <w:t>×10</w:t>
      </w:r>
      <w:r>
        <w:rPr>
          <w:rFonts w:hint="eastAsia"/>
          <w:color w:val="auto"/>
          <w:highlight w:val="none"/>
          <w:vertAlign w:val="superscript"/>
        </w:rPr>
        <w:t>4</w:t>
      </w:r>
      <w:r>
        <w:rPr>
          <w:rFonts w:hint="eastAsia"/>
          <w:color w:val="auto"/>
          <w:highlight w:val="none"/>
          <w:lang w:eastAsia="zh-CN"/>
        </w:rPr>
        <w:t>m³</w:t>
      </w:r>
    </w:p>
    <w:p>
      <w:pPr>
        <w:ind w:firstLine="480"/>
        <w:rPr>
          <w:color w:val="auto"/>
          <w:highlight w:val="none"/>
        </w:rPr>
      </w:pPr>
      <w:r>
        <w:rPr>
          <w:rFonts w:hint="eastAsia"/>
          <w:color w:val="auto"/>
          <w:highlight w:val="none"/>
        </w:rPr>
        <w:t>P=10%年径流量：W</w:t>
      </w:r>
      <w:r>
        <w:rPr>
          <w:rFonts w:hint="eastAsia"/>
          <w:color w:val="auto"/>
          <w:highlight w:val="none"/>
          <w:vertAlign w:val="subscript"/>
        </w:rPr>
        <w:t>p</w:t>
      </w:r>
      <w:r>
        <w:rPr>
          <w:rFonts w:hint="eastAsia"/>
          <w:color w:val="auto"/>
          <w:highlight w:val="none"/>
        </w:rPr>
        <w:t>=</w:t>
      </w:r>
      <w:r>
        <w:rPr>
          <w:rFonts w:hint="eastAsia"/>
          <w:color w:val="auto"/>
          <w:highlight w:val="none"/>
          <w:lang w:val="en-US" w:eastAsia="zh-CN"/>
        </w:rPr>
        <w:t>5954.97</w:t>
      </w:r>
      <w:r>
        <w:rPr>
          <w:rFonts w:hint="eastAsia"/>
          <w:color w:val="auto"/>
          <w:highlight w:val="none"/>
        </w:rPr>
        <w:t>×10</w:t>
      </w:r>
      <w:r>
        <w:rPr>
          <w:rFonts w:hint="eastAsia"/>
          <w:color w:val="auto"/>
          <w:highlight w:val="none"/>
          <w:vertAlign w:val="superscript"/>
        </w:rPr>
        <w:t>4</w:t>
      </w:r>
      <w:r>
        <w:rPr>
          <w:rFonts w:hint="eastAsia"/>
          <w:color w:val="auto"/>
          <w:highlight w:val="none"/>
          <w:lang w:eastAsia="zh-CN"/>
        </w:rPr>
        <w:t>m³</w:t>
      </w:r>
    </w:p>
    <w:p>
      <w:pPr>
        <w:pStyle w:val="335"/>
        <w:spacing w:before="120" w:after="120"/>
        <w:rPr>
          <w:color w:val="auto"/>
          <w:highlight w:val="none"/>
        </w:rPr>
      </w:pPr>
      <w:bookmarkStart w:id="137" w:name="_Toc508891969"/>
      <w:bookmarkStart w:id="138" w:name="_Toc536295057"/>
      <w:bookmarkStart w:id="139" w:name="_Toc513816896"/>
      <w:bookmarkStart w:id="140" w:name="_Toc367090355"/>
      <w:bookmarkStart w:id="141" w:name="_Toc345571799"/>
      <w:r>
        <w:rPr>
          <w:rFonts w:hint="eastAsia"/>
          <w:color w:val="auto"/>
          <w:highlight w:val="none"/>
        </w:rPr>
        <w:t>2.4.</w:t>
      </w:r>
      <w:r>
        <w:rPr>
          <w:rFonts w:hint="eastAsia"/>
          <w:color w:val="auto"/>
          <w:highlight w:val="none"/>
          <w:lang w:val="en-US" w:eastAsia="zh-CN"/>
        </w:rPr>
        <w:t>3</w:t>
      </w:r>
      <w:r>
        <w:rPr>
          <w:rFonts w:hint="eastAsia"/>
          <w:color w:val="auto"/>
          <w:highlight w:val="none"/>
        </w:rPr>
        <w:t xml:space="preserve"> 地下水资源</w:t>
      </w:r>
    </w:p>
    <w:p>
      <w:pPr>
        <w:ind w:firstLine="480"/>
        <w:rPr>
          <w:color w:val="auto"/>
          <w:highlight w:val="none"/>
        </w:rPr>
      </w:pPr>
      <w:r>
        <w:rPr>
          <w:rFonts w:hint="eastAsia"/>
          <w:color w:val="auto"/>
          <w:highlight w:val="none"/>
        </w:rPr>
        <w:t>流溪河流域内的地下水主要可分为山丘区基岩裂隙潜水、承压水和平原区上层的松散土孔隙潜水，即承压水以及下层的埋藏型岩溶水、红层裂隙水三个类型。</w:t>
      </w:r>
    </w:p>
    <w:p>
      <w:pPr>
        <w:ind w:firstLine="480"/>
        <w:rPr>
          <w:color w:val="auto"/>
          <w:highlight w:val="none"/>
        </w:rPr>
      </w:pPr>
      <w:r>
        <w:rPr>
          <w:rFonts w:hint="eastAsia"/>
          <w:color w:val="auto"/>
          <w:highlight w:val="none"/>
        </w:rPr>
        <w:t>山丘区中各类岩体风化裂隙发育，植被良好，大气降水沿着裂隙渗入，贮存及富集了裂缝地下水，除岩溶地区外，大多数裂隙地下水调蓄能力差，很快以散泉形式就近排入沟溪，并汇集至江河，成为重要的河川基流，只有少量地下水向深处流动补给裂隙承压水，这也是一些流量丰富的温泉（如从化温泉等）的主要来源。裂隙水一般水质良好，较少受到污染，而含有微量稀有矿物质的矿泉水式温泉具有较高的经济和医疗价值。流域内山丘区面积约为1541k</w:t>
      </w:r>
      <w:r>
        <w:rPr>
          <w:rFonts w:hint="eastAsia"/>
          <w:color w:val="auto"/>
          <w:highlight w:val="none"/>
          <w:lang w:eastAsia="zh-CN"/>
        </w:rPr>
        <w:t>m²</w:t>
      </w:r>
      <w:r>
        <w:rPr>
          <w:rFonts w:hint="eastAsia"/>
          <w:color w:val="auto"/>
          <w:highlight w:val="none"/>
        </w:rPr>
        <w:t>，裂隙水储量估算为4.16亿</w:t>
      </w:r>
      <w:r>
        <w:rPr>
          <w:rFonts w:hint="eastAsia"/>
          <w:color w:val="auto"/>
          <w:highlight w:val="none"/>
          <w:lang w:eastAsia="zh-CN"/>
        </w:rPr>
        <w:t>m³</w:t>
      </w:r>
      <w:r>
        <w:rPr>
          <w:rFonts w:hint="eastAsia"/>
          <w:color w:val="auto"/>
          <w:highlight w:val="none"/>
        </w:rPr>
        <w:t>。</w:t>
      </w:r>
    </w:p>
    <w:p>
      <w:pPr>
        <w:ind w:firstLine="480"/>
        <w:rPr>
          <w:color w:val="auto"/>
          <w:highlight w:val="none"/>
        </w:rPr>
      </w:pPr>
      <w:r>
        <w:rPr>
          <w:rFonts w:hint="eastAsia"/>
          <w:color w:val="auto"/>
          <w:highlight w:val="none"/>
        </w:rPr>
        <w:t>平原区孔隙潜水、承压水主要分布于广花盆地和流溪河及其支流冲积的砂、砾石层中，大气降水和河川径流是其主要补给来源，而含水层的厚度及透水性决定其富水程度。含水层一般均有1～2个，厚度一般为6～15m（局部为20～25m），顶板埋深一般为1.5～9m，其富水性山前地带较贫乏，贫地中部中等，现代河谷和北部四条古河道带含水丰富。四条古河道带：（1）福兴庄兔岗－人和；（2）罗汉塘－风和庄－蚌湖；（3）东华－广岭－横沥－塘贝；（4）广岭－古楼场－雅瑶旧村，古河道带单井涌水量467.5～4680.7</w:t>
      </w:r>
      <w:r>
        <w:rPr>
          <w:rFonts w:hint="eastAsia"/>
          <w:color w:val="auto"/>
          <w:highlight w:val="none"/>
          <w:lang w:eastAsia="zh-CN"/>
        </w:rPr>
        <w:t>m³</w:t>
      </w:r>
      <w:r>
        <w:rPr>
          <w:rFonts w:hint="eastAsia"/>
          <w:color w:val="auto"/>
          <w:highlight w:val="none"/>
        </w:rPr>
        <w:t>/d，以大于1000</w:t>
      </w:r>
      <w:r>
        <w:rPr>
          <w:rFonts w:hint="eastAsia"/>
          <w:color w:val="auto"/>
          <w:highlight w:val="none"/>
          <w:lang w:eastAsia="zh-CN"/>
        </w:rPr>
        <w:t>m³</w:t>
      </w:r>
      <w:r>
        <w:rPr>
          <w:rFonts w:hint="eastAsia"/>
          <w:color w:val="auto"/>
          <w:highlight w:val="none"/>
        </w:rPr>
        <w:t>/d者居多。</w:t>
      </w:r>
    </w:p>
    <w:p>
      <w:pPr>
        <w:ind w:firstLine="480"/>
        <w:rPr>
          <w:color w:val="auto"/>
          <w:highlight w:val="none"/>
        </w:rPr>
      </w:pPr>
      <w:r>
        <w:rPr>
          <w:rFonts w:hint="eastAsia"/>
          <w:color w:val="auto"/>
          <w:highlight w:val="none"/>
        </w:rPr>
        <w:t>平原区埋藏型岩溶水广泛分布于广花盆地，面积488k</w:t>
      </w:r>
      <w:r>
        <w:rPr>
          <w:rFonts w:hint="eastAsia"/>
          <w:color w:val="auto"/>
          <w:highlight w:val="none"/>
          <w:lang w:eastAsia="zh-CN"/>
        </w:rPr>
        <w:t>m²</w:t>
      </w:r>
      <w:r>
        <w:rPr>
          <w:rFonts w:hint="eastAsia"/>
          <w:color w:val="auto"/>
          <w:highlight w:val="none"/>
        </w:rPr>
        <w:t>，岩溶的发育程度和深度决定含水层的富水性，栖霞组灰岩与壶天辟灰岩富水性最好，单井涌水量均大于1000</w:t>
      </w:r>
      <w:r>
        <w:rPr>
          <w:rFonts w:hint="eastAsia"/>
          <w:color w:val="auto"/>
          <w:highlight w:val="none"/>
          <w:lang w:eastAsia="zh-CN"/>
        </w:rPr>
        <w:t>m³</w:t>
      </w:r>
      <w:r>
        <w:rPr>
          <w:rFonts w:hint="eastAsia"/>
          <w:color w:val="auto"/>
          <w:highlight w:val="none"/>
        </w:rPr>
        <w:t>/d。</w:t>
      </w:r>
    </w:p>
    <w:p>
      <w:pPr>
        <w:ind w:firstLine="480"/>
        <w:rPr>
          <w:color w:val="auto"/>
          <w:highlight w:val="none"/>
        </w:rPr>
      </w:pPr>
      <w:r>
        <w:rPr>
          <w:rFonts w:hint="eastAsia"/>
          <w:color w:val="auto"/>
          <w:highlight w:val="none"/>
        </w:rPr>
        <w:t>平原区地下水水质一般尚好，岩溶水含钙质较多，但在局部地区也受到轻～中等污染（人为因素）。平原区地下水储量估算为1.85亿</w:t>
      </w:r>
      <w:r>
        <w:rPr>
          <w:rFonts w:hint="eastAsia"/>
          <w:color w:val="auto"/>
          <w:highlight w:val="none"/>
          <w:lang w:eastAsia="zh-CN"/>
        </w:rPr>
        <w:t>m³</w:t>
      </w:r>
      <w:r>
        <w:rPr>
          <w:rFonts w:hint="eastAsia"/>
          <w:color w:val="auto"/>
          <w:highlight w:val="none"/>
        </w:rPr>
        <w:t>。</w:t>
      </w:r>
    </w:p>
    <w:p>
      <w:pPr>
        <w:pStyle w:val="3"/>
        <w:rPr>
          <w:rFonts w:hint="eastAsia"/>
          <w:color w:val="auto"/>
          <w:highlight w:val="none"/>
        </w:rPr>
      </w:pPr>
      <w:bookmarkStart w:id="142" w:name="_Toc19290"/>
      <w:r>
        <w:rPr>
          <w:rFonts w:hint="eastAsia"/>
          <w:color w:val="auto"/>
          <w:highlight w:val="none"/>
        </w:rPr>
        <w:t xml:space="preserve">2.5 </w:t>
      </w:r>
      <w:bookmarkEnd w:id="137"/>
      <w:r>
        <w:rPr>
          <w:rFonts w:hint="eastAsia"/>
          <w:color w:val="auto"/>
          <w:highlight w:val="none"/>
        </w:rPr>
        <w:t>洪水</w:t>
      </w:r>
      <w:bookmarkEnd w:id="138"/>
      <w:bookmarkEnd w:id="139"/>
      <w:bookmarkEnd w:id="142"/>
    </w:p>
    <w:p>
      <w:pPr>
        <w:pStyle w:val="335"/>
        <w:spacing w:before="120" w:after="120"/>
        <w:rPr>
          <w:color w:val="auto"/>
          <w:highlight w:val="none"/>
        </w:rPr>
      </w:pPr>
      <w:bookmarkStart w:id="143" w:name="_Toc345571796"/>
      <w:bookmarkStart w:id="144" w:name="_Toc536295058"/>
      <w:r>
        <w:rPr>
          <w:color w:val="auto"/>
          <w:highlight w:val="none"/>
        </w:rPr>
        <w:t>2.5.1 暴雨</w:t>
      </w:r>
      <w:r>
        <w:rPr>
          <w:rFonts w:hint="eastAsia"/>
          <w:color w:val="auto"/>
          <w:highlight w:val="none"/>
        </w:rPr>
        <w:t>洪水</w:t>
      </w:r>
      <w:r>
        <w:rPr>
          <w:color w:val="auto"/>
          <w:highlight w:val="none"/>
        </w:rPr>
        <w:t>特性</w:t>
      </w:r>
      <w:bookmarkEnd w:id="143"/>
      <w:bookmarkEnd w:id="144"/>
    </w:p>
    <w:p>
      <w:pPr>
        <w:ind w:firstLine="480"/>
        <w:rPr>
          <w:color w:val="auto"/>
          <w:highlight w:val="none"/>
        </w:rPr>
      </w:pPr>
      <w:r>
        <w:rPr>
          <w:rFonts w:hint="eastAsia"/>
          <w:color w:val="auto"/>
          <w:highlight w:val="none"/>
        </w:rPr>
        <w:t>由于天气系统的影响，流域暴雨有明显的前后汛期之分。每年4～6月份为前汛期，受西风带天气系统的影响，平均可发生10次暴雨过程。降雨以锋面雨为主，虽然暴雨量级不大，但局地性较强，时程分配较集中，年最大暴雨强度往往发生在该时期内。7～9月份为后汛期，受热带天气系统的影响，进入盛夏季节，降雨以台风雨为主，虽然暴雨时程分配较为均匀，但降雨范围广，总量大。从年最大24h及3d雨量均值等值线来看，流域暴雨量自南向北呈递增趋势。</w:t>
      </w:r>
    </w:p>
    <w:p>
      <w:pPr>
        <w:ind w:firstLine="480"/>
        <w:rPr>
          <w:color w:val="auto"/>
          <w:highlight w:val="none"/>
        </w:rPr>
      </w:pPr>
      <w:r>
        <w:rPr>
          <w:rFonts w:hint="eastAsia"/>
          <w:color w:val="auto"/>
          <w:highlight w:val="none"/>
        </w:rPr>
        <w:t>一般在每年三月中、下旬就开始有中、小洪水发生，较大或大洪水多发生在五、六月，七至九月发生洪水机会明显减少，就是发生洪水峰量也没有前汛期大。据牛心岭站1952年至1994年实测资料统计，年最大流量在1000</w:t>
      </w:r>
      <w:r>
        <w:rPr>
          <w:rFonts w:hint="eastAsia"/>
          <w:color w:val="auto"/>
          <w:highlight w:val="none"/>
          <w:lang w:eastAsia="zh-CN"/>
        </w:rPr>
        <w:t>m³</w:t>
      </w:r>
      <w:r>
        <w:rPr>
          <w:rFonts w:hint="eastAsia"/>
          <w:color w:val="auto"/>
          <w:highlight w:val="none"/>
        </w:rPr>
        <w:t>/s以上共有十一年次，其中九年次发生在五、六月，只有一次发生在四月下旬，一次发生在七月中旬，该站实测得最大流量为1870</w:t>
      </w:r>
      <w:r>
        <w:rPr>
          <w:rFonts w:hint="eastAsia"/>
          <w:color w:val="auto"/>
          <w:highlight w:val="none"/>
          <w:lang w:eastAsia="zh-CN"/>
        </w:rPr>
        <w:t>m³</w:t>
      </w:r>
      <w:r>
        <w:rPr>
          <w:rFonts w:hint="eastAsia"/>
          <w:color w:val="auto"/>
          <w:highlight w:val="none"/>
        </w:rPr>
        <w:t>/s(1957年5月28日)，查测历史最大洪峰流量为3311</w:t>
      </w:r>
      <w:r>
        <w:rPr>
          <w:rFonts w:hint="eastAsia"/>
          <w:color w:val="auto"/>
          <w:highlight w:val="none"/>
          <w:lang w:eastAsia="zh-CN"/>
        </w:rPr>
        <w:t>m³</w:t>
      </w:r>
      <w:r>
        <w:rPr>
          <w:rFonts w:hint="eastAsia"/>
          <w:color w:val="auto"/>
          <w:highlight w:val="none"/>
        </w:rPr>
        <w:t>/s(1852年6月13日)，都发生在前汛期。另外流溪河的流域面积不大，且中、下游较近暴雨区，因此，该河的较大和大洪水发生时上、下游都较一致，其洪水过程在中、下游多为单峰或双峰型两类，双峰型的主峰出现在前、后的都有，但较大的洪水（峰量大于1000</w:t>
      </w:r>
      <w:r>
        <w:rPr>
          <w:rFonts w:hint="eastAsia"/>
          <w:color w:val="auto"/>
          <w:highlight w:val="none"/>
          <w:lang w:eastAsia="zh-CN"/>
        </w:rPr>
        <w:t>m³</w:t>
      </w:r>
      <w:r>
        <w:rPr>
          <w:rFonts w:hint="eastAsia"/>
          <w:color w:val="auto"/>
          <w:highlight w:val="none"/>
        </w:rPr>
        <w:t>/s）主峰都是在后，如1957、1959、1983、1987年的年最大洪水过程都是如此。同时该河流中、下游洪水亦有陡涨急落趋势，洪水历时随暴雨历时而变，一般多为三至七天。</w:t>
      </w:r>
    </w:p>
    <w:p>
      <w:pPr>
        <w:pStyle w:val="335"/>
        <w:spacing w:before="120" w:after="120"/>
        <w:rPr>
          <w:color w:val="auto"/>
          <w:highlight w:val="none"/>
        </w:rPr>
      </w:pPr>
      <w:bookmarkStart w:id="145" w:name="_Toc106070412"/>
      <w:bookmarkStart w:id="146" w:name="_Toc93376300"/>
      <w:bookmarkStart w:id="147" w:name="_Toc345571797"/>
      <w:bookmarkStart w:id="148" w:name="_Toc93999373"/>
      <w:bookmarkStart w:id="149" w:name="_Toc104976619"/>
      <w:bookmarkStart w:id="150" w:name="_Toc140373165"/>
      <w:bookmarkStart w:id="151" w:name="_Toc106068978"/>
      <w:bookmarkStart w:id="152" w:name="_Toc103411289"/>
      <w:bookmarkStart w:id="153" w:name="_Toc139011105"/>
      <w:bookmarkStart w:id="154" w:name="_Toc103419879"/>
      <w:bookmarkStart w:id="155" w:name="_Toc536295059"/>
      <w:r>
        <w:rPr>
          <w:color w:val="auto"/>
          <w:highlight w:val="none"/>
        </w:rPr>
        <w:t xml:space="preserve">2.5.2 </w:t>
      </w:r>
      <w:bookmarkEnd w:id="145"/>
      <w:bookmarkEnd w:id="146"/>
      <w:bookmarkEnd w:id="147"/>
      <w:bookmarkEnd w:id="148"/>
      <w:bookmarkEnd w:id="149"/>
      <w:bookmarkEnd w:id="150"/>
      <w:bookmarkEnd w:id="151"/>
      <w:bookmarkEnd w:id="152"/>
      <w:bookmarkEnd w:id="153"/>
      <w:bookmarkEnd w:id="154"/>
      <w:r>
        <w:rPr>
          <w:rFonts w:hint="eastAsia"/>
          <w:color w:val="auto"/>
          <w:highlight w:val="none"/>
        </w:rPr>
        <w:t>设计洪水</w:t>
      </w:r>
      <w:bookmarkEnd w:id="155"/>
    </w:p>
    <w:p>
      <w:pPr>
        <w:ind w:firstLine="480"/>
        <w:rPr>
          <w:color w:val="auto"/>
          <w:highlight w:val="none"/>
        </w:rPr>
      </w:pPr>
      <w:r>
        <w:rPr>
          <w:rFonts w:hint="eastAsia"/>
          <w:color w:val="auto"/>
          <w:highlight w:val="none"/>
          <w:lang w:eastAsia="zh-CN"/>
        </w:rPr>
        <w:t>本次</w:t>
      </w:r>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渠道进行三面光改造，改造起点位于温泉镇桃莲村委后（桩号0+000），距离干渠渠首约5.5km，终点位于从莞深高速公路穿路箱涵进水口（桩号1+207），改造总长1207m</w:t>
      </w:r>
      <w:r>
        <w:rPr>
          <w:rFonts w:hint="eastAsia"/>
          <w:color w:val="auto"/>
          <w:highlight w:val="none"/>
          <w:lang w:eastAsia="zh-CN"/>
        </w:rPr>
        <w:t>，</w:t>
      </w:r>
      <w:r>
        <w:rPr>
          <w:rFonts w:hint="eastAsia"/>
          <w:color w:val="auto"/>
          <w:kern w:val="0"/>
          <w:highlight w:val="none"/>
        </w:rPr>
        <w:t>干渠兼顾排洪及灌溉功能，其设计洪水计算，一般包括：</w:t>
      </w:r>
    </w:p>
    <w:p>
      <w:pPr>
        <w:ind w:firstLine="480"/>
        <w:rPr>
          <w:color w:val="auto"/>
          <w:highlight w:val="none"/>
        </w:rPr>
      </w:pPr>
      <w:r>
        <w:rPr>
          <w:rFonts w:hint="eastAsia"/>
          <w:color w:val="auto"/>
          <w:highlight w:val="none"/>
        </w:rPr>
        <w:t>（1）取水口</w:t>
      </w:r>
      <w:r>
        <w:rPr>
          <w:color w:val="auto"/>
          <w:highlight w:val="none"/>
        </w:rPr>
        <w:t>设计洪水；</w:t>
      </w:r>
    </w:p>
    <w:p>
      <w:pPr>
        <w:ind w:firstLine="480"/>
        <w:rPr>
          <w:color w:val="auto"/>
          <w:highlight w:val="none"/>
        </w:rPr>
      </w:pPr>
      <w:r>
        <w:rPr>
          <w:rFonts w:hint="eastAsia"/>
          <w:color w:val="auto"/>
          <w:highlight w:val="none"/>
        </w:rPr>
        <w:t>（2）交叉建筑物的设计洪水；</w:t>
      </w:r>
    </w:p>
    <w:p>
      <w:pPr>
        <w:ind w:firstLine="480"/>
        <w:rPr>
          <w:color w:val="auto"/>
          <w:highlight w:val="none"/>
        </w:rPr>
      </w:pPr>
      <w:r>
        <w:rPr>
          <w:rFonts w:hint="eastAsia"/>
          <w:color w:val="auto"/>
          <w:highlight w:val="none"/>
        </w:rPr>
        <w:t>（3）承担排洪任务或有山洪汇入的渠段的设计洪水。</w:t>
      </w:r>
    </w:p>
    <w:p>
      <w:pPr>
        <w:ind w:firstLine="480"/>
        <w:rPr>
          <w:color w:val="auto"/>
          <w:highlight w:val="none"/>
        </w:rPr>
      </w:pPr>
      <w:r>
        <w:rPr>
          <w:rFonts w:hint="eastAsia"/>
          <w:color w:val="auto"/>
          <w:highlight w:val="none"/>
        </w:rPr>
        <w:t>设计洪水的计算根据工程的集水面积，所在流域的暴雨洪水特性、实测水文资料情况等因素采用按实测流量资料推算设计洪水或按暴雨资料推算设计洪水的方法。</w:t>
      </w:r>
    </w:p>
    <w:p>
      <w:pPr>
        <w:ind w:firstLine="480"/>
        <w:rPr>
          <w:color w:val="auto"/>
          <w:highlight w:val="none"/>
        </w:rPr>
      </w:pPr>
      <w:r>
        <w:rPr>
          <w:rFonts w:hint="eastAsia"/>
          <w:color w:val="auto"/>
          <w:highlight w:val="none"/>
        </w:rPr>
        <w:t>根据本工程实际情况，温泉镇南大水库灌区（</w:t>
      </w:r>
      <w:r>
        <w:rPr>
          <w:rFonts w:hint="eastAsia"/>
          <w:color w:val="auto"/>
          <w:highlight w:val="none"/>
          <w:lang w:eastAsia="zh-CN"/>
        </w:rPr>
        <w:t>桃莲段</w:t>
      </w:r>
      <w:r>
        <w:rPr>
          <w:rFonts w:hint="eastAsia"/>
          <w:color w:val="auto"/>
          <w:highlight w:val="none"/>
        </w:rPr>
        <w:t>）改造工程设计洪水计算主要有两种，一种为有山洪汇入渠段的设计洪水计算，渠道内洪水主要通过渠段下游</w:t>
      </w:r>
      <w:r>
        <w:rPr>
          <w:rFonts w:hint="eastAsia"/>
          <w:color w:val="auto"/>
          <w:highlight w:val="none"/>
          <w:lang w:eastAsia="zh-CN"/>
        </w:rPr>
        <w:t>泄洪闸</w:t>
      </w:r>
      <w:r>
        <w:rPr>
          <w:rFonts w:hint="eastAsia"/>
          <w:color w:val="auto"/>
          <w:highlight w:val="none"/>
        </w:rPr>
        <w:t>沿现有排洪沟汇入河道或承泄区，使渠段内洪水不对下游渠道产生影响；一种为渠系建筑物设计洪水计算。</w:t>
      </w:r>
    </w:p>
    <w:p>
      <w:pPr>
        <w:ind w:firstLine="480"/>
        <w:rPr>
          <w:color w:val="auto"/>
          <w:highlight w:val="none"/>
        </w:rPr>
      </w:pPr>
      <w:r>
        <w:rPr>
          <w:rFonts w:hint="eastAsia"/>
          <w:color w:val="auto"/>
          <w:highlight w:val="none"/>
        </w:rPr>
        <w:t>渠系建筑物的设计洪水亦有两种，一种为渠系建筑物自身集雨范围内产生的洪水，指</w:t>
      </w:r>
      <w:r>
        <w:rPr>
          <w:rFonts w:hint="eastAsia"/>
          <w:color w:val="auto"/>
          <w:highlight w:val="none"/>
          <w:lang w:eastAsia="zh-CN"/>
        </w:rPr>
        <w:t>泄洪闸</w:t>
      </w:r>
      <w:r>
        <w:rPr>
          <w:rFonts w:hint="eastAsia"/>
          <w:color w:val="auto"/>
          <w:highlight w:val="none"/>
        </w:rPr>
        <w:t>、渠下涵的设计洪水(其中</w:t>
      </w:r>
      <w:r>
        <w:rPr>
          <w:rFonts w:hint="eastAsia"/>
          <w:color w:val="auto"/>
          <w:highlight w:val="none"/>
          <w:lang w:eastAsia="zh-CN"/>
        </w:rPr>
        <w:t>泄洪闸</w:t>
      </w:r>
      <w:r>
        <w:rPr>
          <w:rFonts w:hint="eastAsia"/>
          <w:color w:val="auto"/>
          <w:highlight w:val="none"/>
        </w:rPr>
        <w:t>设计洪水与其上游有山洪汇入渠段设计洪水一致)；另一种为跨河、涉河建筑物，主要为渡槽所在的天然河道断面的设计洪水。</w:t>
      </w:r>
    </w:p>
    <w:p>
      <w:pPr>
        <w:ind w:firstLine="480"/>
        <w:rPr>
          <w:color w:val="auto"/>
          <w:highlight w:val="none"/>
        </w:rPr>
      </w:pPr>
      <w:r>
        <w:rPr>
          <w:rFonts w:hint="eastAsia"/>
          <w:color w:val="auto"/>
          <w:highlight w:val="none"/>
        </w:rPr>
        <w:t>通过现场调查可知，渠系跨河渡槽底板高程高于所跨天然河道的堤顶高程，不受天然河道洪水影响。本次设计仅对沿线有山洪汇入渠段设计洪水（</w:t>
      </w:r>
      <w:r>
        <w:rPr>
          <w:rFonts w:hint="eastAsia"/>
          <w:color w:val="auto"/>
          <w:highlight w:val="none"/>
          <w:lang w:eastAsia="zh-CN"/>
        </w:rPr>
        <w:t>泄洪闸</w:t>
      </w:r>
      <w:r>
        <w:rPr>
          <w:rFonts w:hint="eastAsia"/>
          <w:color w:val="auto"/>
          <w:highlight w:val="none"/>
        </w:rPr>
        <w:t>设计洪水）进行计算。</w:t>
      </w:r>
    </w:p>
    <w:p>
      <w:pPr>
        <w:pStyle w:val="335"/>
        <w:spacing w:before="120" w:after="120"/>
        <w:rPr>
          <w:color w:val="auto"/>
          <w:highlight w:val="none"/>
        </w:rPr>
      </w:pPr>
      <w:bookmarkStart w:id="156" w:name="_Toc104976620"/>
      <w:bookmarkStart w:id="157" w:name="_Toc103419880"/>
      <w:bookmarkStart w:id="158" w:name="_Toc345571798"/>
      <w:bookmarkStart w:id="159" w:name="_Toc140373166"/>
      <w:bookmarkStart w:id="160" w:name="_Toc106068979"/>
      <w:bookmarkStart w:id="161" w:name="_Toc536295060"/>
      <w:bookmarkStart w:id="162" w:name="_Toc103411290"/>
      <w:bookmarkStart w:id="163" w:name="_Toc106070413"/>
      <w:bookmarkStart w:id="164" w:name="_Toc139011106"/>
      <w:bookmarkStart w:id="165" w:name="_Toc93999374"/>
      <w:bookmarkStart w:id="166" w:name="_Toc93376301"/>
      <w:r>
        <w:rPr>
          <w:color w:val="auto"/>
          <w:highlight w:val="none"/>
        </w:rPr>
        <w:t xml:space="preserve">2.5.3 </w:t>
      </w:r>
      <w:r>
        <w:rPr>
          <w:rFonts w:hint="eastAsia"/>
          <w:color w:val="auto"/>
          <w:highlight w:val="none"/>
        </w:rPr>
        <w:t>设计排涝流量</w:t>
      </w:r>
      <w:bookmarkEnd w:id="156"/>
      <w:bookmarkEnd w:id="157"/>
      <w:bookmarkEnd w:id="158"/>
      <w:bookmarkEnd w:id="159"/>
      <w:bookmarkEnd w:id="160"/>
      <w:bookmarkEnd w:id="161"/>
      <w:bookmarkEnd w:id="162"/>
      <w:bookmarkEnd w:id="163"/>
      <w:bookmarkEnd w:id="164"/>
      <w:bookmarkEnd w:id="165"/>
      <w:bookmarkEnd w:id="166"/>
    </w:p>
    <w:p>
      <w:pPr>
        <w:ind w:firstLine="480"/>
        <w:rPr>
          <w:color w:val="auto"/>
          <w:highlight w:val="none"/>
          <w:lang w:bidi="en-US"/>
        </w:rPr>
      </w:pPr>
      <w:r>
        <w:rPr>
          <w:color w:val="auto"/>
          <w:highlight w:val="none"/>
          <w:lang w:bidi="en-US"/>
        </w:rPr>
        <w:t>工程周边没有实测的洪水资料，设计洪水采用《广东省暴雨参数等值线图》（广东省水文局，2003）及《广东省暴雨径流查算图表使用水册》（1991年）进行计算。</w:t>
      </w:r>
    </w:p>
    <w:p>
      <w:pPr>
        <w:ind w:firstLine="480"/>
        <w:rPr>
          <w:color w:val="auto"/>
          <w:highlight w:val="none"/>
        </w:rPr>
      </w:pPr>
      <w:r>
        <w:rPr>
          <w:rFonts w:hint="eastAsia"/>
          <w:color w:val="auto"/>
          <w:highlight w:val="none"/>
        </w:rPr>
        <w:t>（1）设计</w:t>
      </w:r>
      <w:r>
        <w:rPr>
          <w:color w:val="auto"/>
          <w:highlight w:val="none"/>
        </w:rPr>
        <w:t>暴雨</w:t>
      </w:r>
    </w:p>
    <w:p>
      <w:pPr>
        <w:ind w:firstLine="480"/>
        <w:rPr>
          <w:color w:val="auto"/>
          <w:highlight w:val="none"/>
        </w:rPr>
      </w:pPr>
      <w:r>
        <w:rPr>
          <w:color w:val="auto"/>
          <w:highlight w:val="none"/>
        </w:rPr>
        <w:t>本次设计暴雨由广东省水文局2003年编制颁布的《广东省暴雨径流查算图表》使用手册（以下简称《查算手册》）推求。</w:t>
      </w:r>
    </w:p>
    <w:p>
      <w:pPr>
        <w:ind w:firstLine="480"/>
        <w:rPr>
          <w:color w:val="auto"/>
          <w:highlight w:val="none"/>
        </w:rPr>
      </w:pPr>
      <w:r>
        <w:rPr>
          <w:color w:val="auto"/>
          <w:highlight w:val="none"/>
        </w:rPr>
        <w:t>2003年版的暴雨参数成果是在1991年版的暴雨参数等值线图的基础上，增加十几年资料系列，将各站资料均统一到1997年，且增补站点，更加合理地对原1991年版《广东省水文图集》中暴雨参数等值线图进行修编，成果可靠、合理。</w:t>
      </w:r>
    </w:p>
    <w:p>
      <w:pPr>
        <w:ind w:firstLine="480"/>
        <w:rPr>
          <w:color w:val="auto"/>
          <w:highlight w:val="none"/>
        </w:rPr>
      </w:pPr>
      <w:r>
        <w:rPr>
          <w:snapToGrid w:val="0"/>
          <w:color w:val="auto"/>
          <w:highlight w:val="none"/>
        </w:rPr>
        <w:t>根据广东省水文局2003年编制颁布的《广东省暴雨参数等值线图》中年最大1小时、6小时、24小时、72小时暴雨统计参数（均值、Cv值）等值线图，查得本工程中心区域的各历时暴雨参数Ht和Cv，Cs取3.5Cv，在《查算手册》中查出各历时暴雨P=5%、P=10%对应的Kp值，再根据本工程的集水面积F，查出各历时的点面换算系数α</w:t>
      </w:r>
      <w:r>
        <w:rPr>
          <w:snapToGrid w:val="0"/>
          <w:color w:val="auto"/>
          <w:highlight w:val="none"/>
          <w:vertAlign w:val="subscript"/>
        </w:rPr>
        <w:t>t</w:t>
      </w:r>
      <w:r>
        <w:rPr>
          <w:snapToGrid w:val="0"/>
          <w:color w:val="auto"/>
          <w:highlight w:val="none"/>
        </w:rPr>
        <w:t>，则可求得本工程不同频率的最大1小时、6小时、24小时和72小时的设计面暴雨值。</w:t>
      </w:r>
      <w:r>
        <w:rPr>
          <w:color w:val="auto"/>
          <w:highlight w:val="none"/>
        </w:rPr>
        <w:t>本区域设计暴雨计算成果</w:t>
      </w:r>
      <w:r>
        <w:rPr>
          <w:rFonts w:hint="eastAsia"/>
          <w:color w:val="auto"/>
          <w:highlight w:val="none"/>
        </w:rPr>
        <w:t>如下</w:t>
      </w:r>
      <w:r>
        <w:rPr>
          <w:color w:val="auto"/>
          <w:highlight w:val="none"/>
        </w:rPr>
        <w:t>。</w:t>
      </w:r>
    </w:p>
    <w:p>
      <w:pPr>
        <w:ind w:firstLine="480"/>
        <w:rPr>
          <w:color w:val="auto"/>
          <w:highlight w:val="none"/>
        </w:rPr>
      </w:pPr>
      <w:r>
        <w:rPr>
          <w:color w:val="auto"/>
          <w:highlight w:val="none"/>
        </w:rPr>
        <w:br w:type="page"/>
      </w:r>
    </w:p>
    <w:p>
      <w:pPr>
        <w:pStyle w:val="264"/>
        <w:numPr>
          <w:ilvl w:val="4"/>
          <w:numId w:val="0"/>
        </w:numPr>
        <w:ind w:left="480" w:leftChars="0"/>
        <w:jc w:val="center"/>
        <w:rPr>
          <w:rFonts w:ascii="宋体" w:hAnsi="宋体" w:eastAsia="黑体"/>
          <w:b w:val="0"/>
          <w:color w:val="auto"/>
          <w:highlight w:val="none"/>
        </w:rPr>
      </w:pPr>
      <w:r>
        <w:rPr>
          <w:rFonts w:hint="eastAsia" w:ascii="宋体" w:hAnsi="宋体" w:eastAsia="黑体"/>
          <w:b w:val="0"/>
          <w:color w:val="auto"/>
          <w:highlight w:val="none"/>
          <w:lang w:eastAsia="zh-CN"/>
        </w:rPr>
        <w:t>表</w:t>
      </w:r>
      <w:r>
        <w:rPr>
          <w:rFonts w:hint="eastAsia" w:ascii="宋体" w:hAnsi="宋体" w:eastAsia="黑体"/>
          <w:b w:val="0"/>
          <w:color w:val="auto"/>
          <w:highlight w:val="none"/>
          <w:lang w:val="en-US" w:eastAsia="zh-CN"/>
        </w:rPr>
        <w:t xml:space="preserve">2-5 </w:t>
      </w:r>
      <w:r>
        <w:rPr>
          <w:rFonts w:ascii="宋体" w:hAnsi="宋体" w:eastAsia="黑体"/>
          <w:b w:val="0"/>
          <w:color w:val="auto"/>
          <w:highlight w:val="none"/>
        </w:rPr>
        <w:t>设计暴雨计算成果</w:t>
      </w:r>
    </w:p>
    <w:tbl>
      <w:tblPr>
        <w:tblStyle w:val="47"/>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9"/>
        <w:gridCol w:w="1055"/>
        <w:gridCol w:w="1316"/>
        <w:gridCol w:w="1622"/>
        <w:gridCol w:w="1244"/>
        <w:gridCol w:w="1244"/>
        <w:gridCol w:w="12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814" w:type="dxa"/>
            <w:gridSpan w:val="2"/>
            <w:vAlign w:val="center"/>
          </w:tcPr>
          <w:p>
            <w:pPr>
              <w:pStyle w:val="272"/>
              <w:spacing w:line="240" w:lineRule="auto"/>
              <w:rPr>
                <w:color w:val="auto"/>
                <w:highlight w:val="none"/>
              </w:rPr>
            </w:pPr>
            <w:r>
              <w:rPr>
                <w:color w:val="auto"/>
                <w:highlight w:val="none"/>
              </w:rPr>
              <w:t>项目</w:t>
            </w:r>
          </w:p>
        </w:tc>
        <w:tc>
          <w:tcPr>
            <w:tcW w:w="1316" w:type="dxa"/>
            <w:vAlign w:val="center"/>
          </w:tcPr>
          <w:p>
            <w:pPr>
              <w:pStyle w:val="272"/>
              <w:spacing w:line="240" w:lineRule="auto"/>
              <w:rPr>
                <w:color w:val="auto"/>
                <w:highlight w:val="none"/>
              </w:rPr>
            </w:pPr>
            <w:r>
              <w:rPr>
                <w:color w:val="auto"/>
                <w:highlight w:val="none"/>
              </w:rPr>
              <w:t>最大10分钟</w:t>
            </w:r>
          </w:p>
        </w:tc>
        <w:tc>
          <w:tcPr>
            <w:tcW w:w="1622" w:type="dxa"/>
            <w:vAlign w:val="center"/>
          </w:tcPr>
          <w:p>
            <w:pPr>
              <w:pStyle w:val="272"/>
              <w:spacing w:line="240" w:lineRule="auto"/>
              <w:rPr>
                <w:color w:val="auto"/>
                <w:highlight w:val="none"/>
              </w:rPr>
            </w:pPr>
            <w:r>
              <w:rPr>
                <w:color w:val="auto"/>
                <w:highlight w:val="none"/>
              </w:rPr>
              <w:t>最大1小时</w:t>
            </w:r>
          </w:p>
        </w:tc>
        <w:tc>
          <w:tcPr>
            <w:tcW w:w="1244" w:type="dxa"/>
            <w:vAlign w:val="center"/>
          </w:tcPr>
          <w:p>
            <w:pPr>
              <w:pStyle w:val="272"/>
              <w:spacing w:line="240" w:lineRule="auto"/>
              <w:rPr>
                <w:color w:val="auto"/>
                <w:highlight w:val="none"/>
              </w:rPr>
            </w:pPr>
            <w:r>
              <w:rPr>
                <w:color w:val="auto"/>
                <w:highlight w:val="none"/>
              </w:rPr>
              <w:t>最大6小时</w:t>
            </w:r>
          </w:p>
        </w:tc>
        <w:tc>
          <w:tcPr>
            <w:tcW w:w="1244" w:type="dxa"/>
            <w:vAlign w:val="center"/>
          </w:tcPr>
          <w:p>
            <w:pPr>
              <w:pStyle w:val="272"/>
              <w:spacing w:line="240" w:lineRule="auto"/>
              <w:rPr>
                <w:color w:val="auto"/>
                <w:highlight w:val="none"/>
              </w:rPr>
            </w:pPr>
            <w:r>
              <w:rPr>
                <w:color w:val="auto"/>
                <w:highlight w:val="none"/>
              </w:rPr>
              <w:t>最大24小时</w:t>
            </w:r>
          </w:p>
        </w:tc>
        <w:tc>
          <w:tcPr>
            <w:tcW w:w="1282" w:type="dxa"/>
            <w:vAlign w:val="center"/>
          </w:tcPr>
          <w:p>
            <w:pPr>
              <w:pStyle w:val="272"/>
              <w:spacing w:line="240" w:lineRule="auto"/>
              <w:rPr>
                <w:color w:val="auto"/>
                <w:highlight w:val="none"/>
              </w:rPr>
            </w:pPr>
            <w:r>
              <w:rPr>
                <w:color w:val="auto"/>
                <w:highlight w:val="none"/>
              </w:rPr>
              <w:t>最大72小时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814" w:type="dxa"/>
            <w:gridSpan w:val="2"/>
            <w:vAlign w:val="center"/>
          </w:tcPr>
          <w:p>
            <w:pPr>
              <w:pStyle w:val="272"/>
              <w:spacing w:line="240" w:lineRule="auto"/>
              <w:rPr>
                <w:color w:val="auto"/>
                <w:highlight w:val="none"/>
              </w:rPr>
            </w:pPr>
            <w:r>
              <w:rPr>
                <w:color w:val="auto"/>
                <w:highlight w:val="none"/>
              </w:rPr>
              <w:t>暴雨均值Ht（mm）</w:t>
            </w:r>
          </w:p>
        </w:tc>
        <w:tc>
          <w:tcPr>
            <w:tcW w:w="1316" w:type="dxa"/>
            <w:vAlign w:val="center"/>
          </w:tcPr>
          <w:p>
            <w:pPr>
              <w:pStyle w:val="272"/>
              <w:spacing w:line="240" w:lineRule="auto"/>
              <w:jc w:val="center"/>
              <w:rPr>
                <w:rFonts w:hint="eastAsia" w:eastAsia="宋体"/>
                <w:color w:val="auto"/>
                <w:highlight w:val="none"/>
                <w:lang w:eastAsia="zh-CN"/>
              </w:rPr>
            </w:pPr>
            <w:r>
              <w:rPr>
                <w:rFonts w:hint="eastAsia"/>
                <w:color w:val="auto"/>
                <w:highlight w:val="none"/>
                <w:lang w:val="en-US" w:eastAsia="zh-CN"/>
              </w:rPr>
              <w:t>22.5</w:t>
            </w:r>
          </w:p>
        </w:tc>
        <w:tc>
          <w:tcPr>
            <w:tcW w:w="1622" w:type="dxa"/>
            <w:vAlign w:val="center"/>
          </w:tcPr>
          <w:p>
            <w:pPr>
              <w:pStyle w:val="272"/>
              <w:spacing w:line="240" w:lineRule="auto"/>
              <w:jc w:val="center"/>
              <w:rPr>
                <w:rFonts w:hint="eastAsia" w:eastAsia="宋体"/>
                <w:color w:val="auto"/>
                <w:highlight w:val="none"/>
                <w:lang w:eastAsia="zh-CN"/>
              </w:rPr>
            </w:pPr>
            <w:r>
              <w:rPr>
                <w:rFonts w:hint="eastAsia"/>
                <w:color w:val="auto"/>
                <w:highlight w:val="none"/>
                <w:lang w:val="en-US" w:eastAsia="zh-CN"/>
              </w:rPr>
              <w:t>52.0</w:t>
            </w:r>
          </w:p>
        </w:tc>
        <w:tc>
          <w:tcPr>
            <w:tcW w:w="1244" w:type="dxa"/>
            <w:vAlign w:val="center"/>
          </w:tcPr>
          <w:p>
            <w:pPr>
              <w:pStyle w:val="272"/>
              <w:spacing w:line="240" w:lineRule="auto"/>
              <w:jc w:val="center"/>
              <w:rPr>
                <w:color w:val="auto"/>
                <w:highlight w:val="none"/>
              </w:rPr>
            </w:pPr>
            <w:r>
              <w:rPr>
                <w:rFonts w:hint="eastAsia"/>
                <w:color w:val="auto"/>
                <w:highlight w:val="none"/>
              </w:rPr>
              <w:t>105</w:t>
            </w:r>
            <w:r>
              <w:rPr>
                <w:rFonts w:hint="eastAsia"/>
                <w:color w:val="auto"/>
                <w:highlight w:val="none"/>
                <w:lang w:val="en-US" w:eastAsia="zh-CN"/>
              </w:rPr>
              <w:t>.0</w:t>
            </w:r>
          </w:p>
        </w:tc>
        <w:tc>
          <w:tcPr>
            <w:tcW w:w="1244" w:type="dxa"/>
            <w:vAlign w:val="center"/>
          </w:tcPr>
          <w:p>
            <w:pPr>
              <w:pStyle w:val="272"/>
              <w:spacing w:line="240" w:lineRule="auto"/>
              <w:jc w:val="center"/>
              <w:rPr>
                <w:rFonts w:hint="eastAsia" w:eastAsia="宋体"/>
                <w:color w:val="auto"/>
                <w:highlight w:val="none"/>
                <w:lang w:eastAsia="zh-CN"/>
              </w:rPr>
            </w:pPr>
            <w:r>
              <w:rPr>
                <w:rFonts w:hint="eastAsia"/>
                <w:color w:val="auto"/>
                <w:highlight w:val="none"/>
                <w:lang w:val="en-US" w:eastAsia="zh-CN"/>
              </w:rPr>
              <w:t>144.1</w:t>
            </w:r>
          </w:p>
        </w:tc>
        <w:tc>
          <w:tcPr>
            <w:tcW w:w="1282" w:type="dxa"/>
            <w:vAlign w:val="center"/>
          </w:tcPr>
          <w:p>
            <w:pPr>
              <w:pStyle w:val="272"/>
              <w:spacing w:line="240" w:lineRule="auto"/>
              <w:jc w:val="center"/>
              <w:rPr>
                <w:rFonts w:hint="eastAsia" w:eastAsia="宋体"/>
                <w:color w:val="auto"/>
                <w:highlight w:val="none"/>
                <w:lang w:eastAsia="zh-CN"/>
              </w:rPr>
            </w:pPr>
            <w:r>
              <w:rPr>
                <w:rFonts w:hint="eastAsia"/>
                <w:color w:val="auto"/>
                <w:highlight w:val="none"/>
                <w:lang w:val="en-US" w:eastAsia="zh-CN"/>
              </w:rPr>
              <w:t>220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814" w:type="dxa"/>
            <w:gridSpan w:val="2"/>
            <w:vAlign w:val="center"/>
          </w:tcPr>
          <w:p>
            <w:pPr>
              <w:pStyle w:val="272"/>
              <w:spacing w:line="240" w:lineRule="auto"/>
              <w:rPr>
                <w:color w:val="auto"/>
                <w:highlight w:val="none"/>
              </w:rPr>
            </w:pPr>
            <w:r>
              <w:rPr>
                <w:color w:val="auto"/>
                <w:highlight w:val="none"/>
              </w:rPr>
              <w:t>变差系数Cv</w:t>
            </w:r>
          </w:p>
        </w:tc>
        <w:tc>
          <w:tcPr>
            <w:tcW w:w="1316" w:type="dxa"/>
            <w:vAlign w:val="center"/>
          </w:tcPr>
          <w:p>
            <w:pPr>
              <w:pStyle w:val="272"/>
              <w:spacing w:line="240" w:lineRule="auto"/>
              <w:jc w:val="center"/>
              <w:rPr>
                <w:color w:val="auto"/>
                <w:highlight w:val="none"/>
              </w:rPr>
            </w:pPr>
            <w:r>
              <w:rPr>
                <w:rFonts w:hint="eastAsia"/>
                <w:color w:val="auto"/>
                <w:highlight w:val="none"/>
              </w:rPr>
              <w:t>0.35</w:t>
            </w:r>
          </w:p>
        </w:tc>
        <w:tc>
          <w:tcPr>
            <w:tcW w:w="1622" w:type="dxa"/>
            <w:vAlign w:val="center"/>
          </w:tcPr>
          <w:p>
            <w:pPr>
              <w:pStyle w:val="272"/>
              <w:spacing w:line="240" w:lineRule="auto"/>
              <w:jc w:val="center"/>
              <w:rPr>
                <w:rFonts w:hint="eastAsia" w:eastAsia="宋体"/>
                <w:color w:val="auto"/>
                <w:highlight w:val="none"/>
                <w:lang w:eastAsia="zh-CN"/>
              </w:rPr>
            </w:pPr>
            <w:r>
              <w:rPr>
                <w:rFonts w:hint="eastAsia"/>
                <w:color w:val="auto"/>
                <w:highlight w:val="none"/>
                <w:lang w:val="en-US" w:eastAsia="zh-CN"/>
              </w:rPr>
              <w:t>0.36</w:t>
            </w:r>
          </w:p>
        </w:tc>
        <w:tc>
          <w:tcPr>
            <w:tcW w:w="1244" w:type="dxa"/>
            <w:vAlign w:val="center"/>
          </w:tcPr>
          <w:p>
            <w:pPr>
              <w:pStyle w:val="272"/>
              <w:spacing w:line="240" w:lineRule="auto"/>
              <w:jc w:val="center"/>
              <w:rPr>
                <w:rFonts w:hint="eastAsia" w:eastAsia="宋体"/>
                <w:color w:val="auto"/>
                <w:highlight w:val="none"/>
                <w:lang w:eastAsia="zh-CN"/>
              </w:rPr>
            </w:pPr>
            <w:r>
              <w:rPr>
                <w:rFonts w:hint="eastAsia"/>
                <w:color w:val="auto"/>
                <w:highlight w:val="none"/>
                <w:lang w:val="en-US" w:eastAsia="zh-CN"/>
              </w:rPr>
              <w:t>0.37</w:t>
            </w:r>
          </w:p>
        </w:tc>
        <w:tc>
          <w:tcPr>
            <w:tcW w:w="1244" w:type="dxa"/>
            <w:vAlign w:val="center"/>
          </w:tcPr>
          <w:p>
            <w:pPr>
              <w:pStyle w:val="272"/>
              <w:spacing w:line="240" w:lineRule="auto"/>
              <w:jc w:val="center"/>
              <w:rPr>
                <w:rFonts w:hint="eastAsia" w:eastAsia="宋体"/>
                <w:color w:val="auto"/>
                <w:highlight w:val="none"/>
                <w:lang w:eastAsia="zh-CN"/>
              </w:rPr>
            </w:pPr>
            <w:r>
              <w:rPr>
                <w:rFonts w:hint="eastAsia"/>
                <w:color w:val="auto"/>
                <w:highlight w:val="none"/>
                <w:lang w:val="en-US" w:eastAsia="zh-CN"/>
              </w:rPr>
              <w:t>0.37</w:t>
            </w:r>
          </w:p>
        </w:tc>
        <w:tc>
          <w:tcPr>
            <w:tcW w:w="1282" w:type="dxa"/>
            <w:vAlign w:val="center"/>
          </w:tcPr>
          <w:p>
            <w:pPr>
              <w:pStyle w:val="272"/>
              <w:spacing w:line="240" w:lineRule="auto"/>
              <w:jc w:val="center"/>
              <w:rPr>
                <w:rFonts w:hint="eastAsia" w:eastAsia="宋体"/>
                <w:color w:val="auto"/>
                <w:highlight w:val="none"/>
                <w:lang w:eastAsia="zh-CN"/>
              </w:rPr>
            </w:pPr>
            <w:r>
              <w:rPr>
                <w:rFonts w:hint="eastAsia"/>
                <w:color w:val="auto"/>
                <w:highlight w:val="none"/>
                <w:lang w:val="en-US" w:eastAsia="zh-CN"/>
              </w:rPr>
              <w:t>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814" w:type="dxa"/>
            <w:gridSpan w:val="2"/>
            <w:vAlign w:val="center"/>
          </w:tcPr>
          <w:p>
            <w:pPr>
              <w:pStyle w:val="272"/>
              <w:spacing w:line="240" w:lineRule="auto"/>
              <w:rPr>
                <w:color w:val="auto"/>
                <w:highlight w:val="none"/>
              </w:rPr>
            </w:pPr>
            <w:r>
              <w:rPr>
                <w:color w:val="auto"/>
                <w:highlight w:val="none"/>
              </w:rPr>
              <w:t>Cs/Cv</w:t>
            </w:r>
          </w:p>
        </w:tc>
        <w:tc>
          <w:tcPr>
            <w:tcW w:w="1316" w:type="dxa"/>
            <w:vAlign w:val="center"/>
          </w:tcPr>
          <w:p>
            <w:pPr>
              <w:pStyle w:val="272"/>
              <w:spacing w:line="240" w:lineRule="auto"/>
              <w:jc w:val="center"/>
              <w:rPr>
                <w:color w:val="auto"/>
                <w:highlight w:val="none"/>
              </w:rPr>
            </w:pPr>
            <w:r>
              <w:rPr>
                <w:color w:val="auto"/>
                <w:highlight w:val="none"/>
              </w:rPr>
              <w:t>3.5</w:t>
            </w:r>
          </w:p>
        </w:tc>
        <w:tc>
          <w:tcPr>
            <w:tcW w:w="1622" w:type="dxa"/>
            <w:vAlign w:val="center"/>
          </w:tcPr>
          <w:p>
            <w:pPr>
              <w:pStyle w:val="272"/>
              <w:spacing w:line="240" w:lineRule="auto"/>
              <w:jc w:val="center"/>
              <w:rPr>
                <w:color w:val="auto"/>
                <w:highlight w:val="none"/>
              </w:rPr>
            </w:pPr>
            <w:r>
              <w:rPr>
                <w:color w:val="auto"/>
                <w:highlight w:val="none"/>
              </w:rPr>
              <w:t>3.5</w:t>
            </w:r>
          </w:p>
        </w:tc>
        <w:tc>
          <w:tcPr>
            <w:tcW w:w="1244" w:type="dxa"/>
            <w:vAlign w:val="center"/>
          </w:tcPr>
          <w:p>
            <w:pPr>
              <w:pStyle w:val="272"/>
              <w:spacing w:line="240" w:lineRule="auto"/>
              <w:jc w:val="center"/>
              <w:rPr>
                <w:color w:val="auto"/>
                <w:highlight w:val="none"/>
              </w:rPr>
            </w:pPr>
            <w:r>
              <w:rPr>
                <w:color w:val="auto"/>
                <w:highlight w:val="none"/>
              </w:rPr>
              <w:t>3.5</w:t>
            </w:r>
          </w:p>
        </w:tc>
        <w:tc>
          <w:tcPr>
            <w:tcW w:w="1244" w:type="dxa"/>
            <w:vAlign w:val="center"/>
          </w:tcPr>
          <w:p>
            <w:pPr>
              <w:pStyle w:val="272"/>
              <w:spacing w:line="240" w:lineRule="auto"/>
              <w:jc w:val="center"/>
              <w:rPr>
                <w:color w:val="auto"/>
                <w:highlight w:val="none"/>
              </w:rPr>
            </w:pPr>
            <w:r>
              <w:rPr>
                <w:color w:val="auto"/>
                <w:highlight w:val="none"/>
              </w:rPr>
              <w:t>3.5</w:t>
            </w:r>
          </w:p>
        </w:tc>
        <w:tc>
          <w:tcPr>
            <w:tcW w:w="1282" w:type="dxa"/>
            <w:vAlign w:val="center"/>
          </w:tcPr>
          <w:p>
            <w:pPr>
              <w:pStyle w:val="272"/>
              <w:spacing w:line="240" w:lineRule="auto"/>
              <w:jc w:val="center"/>
              <w:rPr>
                <w:color w:val="auto"/>
                <w:highlight w:val="none"/>
              </w:rPr>
            </w:pPr>
            <w:r>
              <w:rPr>
                <w:color w:val="auto"/>
                <w:highlight w:val="none"/>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814" w:type="dxa"/>
            <w:gridSpan w:val="2"/>
            <w:vAlign w:val="center"/>
          </w:tcPr>
          <w:p>
            <w:pPr>
              <w:pStyle w:val="272"/>
              <w:spacing w:line="240" w:lineRule="auto"/>
              <w:rPr>
                <w:color w:val="auto"/>
                <w:highlight w:val="none"/>
              </w:rPr>
            </w:pPr>
            <w:r>
              <w:rPr>
                <w:color w:val="auto"/>
                <w:highlight w:val="none"/>
              </w:rPr>
              <w:t>α</w:t>
            </w:r>
            <w:r>
              <w:rPr>
                <w:color w:val="auto"/>
                <w:highlight w:val="none"/>
                <w:vertAlign w:val="subscript"/>
              </w:rPr>
              <w:t>t</w:t>
            </w:r>
          </w:p>
        </w:tc>
        <w:tc>
          <w:tcPr>
            <w:tcW w:w="1316" w:type="dxa"/>
            <w:vAlign w:val="center"/>
          </w:tcPr>
          <w:p>
            <w:pPr>
              <w:pStyle w:val="272"/>
              <w:spacing w:line="240" w:lineRule="auto"/>
              <w:jc w:val="center"/>
              <w:rPr>
                <w:color w:val="auto"/>
                <w:highlight w:val="none"/>
              </w:rPr>
            </w:pPr>
            <w:r>
              <w:rPr>
                <w:color w:val="auto"/>
                <w:highlight w:val="none"/>
              </w:rPr>
              <w:t>1.0</w:t>
            </w:r>
          </w:p>
        </w:tc>
        <w:tc>
          <w:tcPr>
            <w:tcW w:w="1622" w:type="dxa"/>
            <w:vAlign w:val="center"/>
          </w:tcPr>
          <w:p>
            <w:pPr>
              <w:pStyle w:val="272"/>
              <w:spacing w:line="240" w:lineRule="auto"/>
              <w:jc w:val="center"/>
              <w:rPr>
                <w:color w:val="auto"/>
                <w:highlight w:val="none"/>
              </w:rPr>
            </w:pPr>
            <w:r>
              <w:rPr>
                <w:color w:val="auto"/>
                <w:highlight w:val="none"/>
              </w:rPr>
              <w:t>1.0</w:t>
            </w:r>
          </w:p>
        </w:tc>
        <w:tc>
          <w:tcPr>
            <w:tcW w:w="1244" w:type="dxa"/>
            <w:vAlign w:val="center"/>
          </w:tcPr>
          <w:p>
            <w:pPr>
              <w:pStyle w:val="272"/>
              <w:spacing w:line="240" w:lineRule="auto"/>
              <w:jc w:val="center"/>
              <w:rPr>
                <w:color w:val="auto"/>
                <w:highlight w:val="none"/>
              </w:rPr>
            </w:pPr>
            <w:r>
              <w:rPr>
                <w:color w:val="auto"/>
                <w:highlight w:val="none"/>
              </w:rPr>
              <w:t>1.0</w:t>
            </w:r>
          </w:p>
        </w:tc>
        <w:tc>
          <w:tcPr>
            <w:tcW w:w="1244" w:type="dxa"/>
            <w:vAlign w:val="center"/>
          </w:tcPr>
          <w:p>
            <w:pPr>
              <w:pStyle w:val="272"/>
              <w:spacing w:line="240" w:lineRule="auto"/>
              <w:jc w:val="center"/>
              <w:rPr>
                <w:color w:val="auto"/>
                <w:highlight w:val="none"/>
              </w:rPr>
            </w:pPr>
            <w:r>
              <w:rPr>
                <w:color w:val="auto"/>
                <w:highlight w:val="none"/>
              </w:rPr>
              <w:t>1.0</w:t>
            </w:r>
          </w:p>
        </w:tc>
        <w:tc>
          <w:tcPr>
            <w:tcW w:w="1282" w:type="dxa"/>
            <w:vAlign w:val="center"/>
          </w:tcPr>
          <w:p>
            <w:pPr>
              <w:pStyle w:val="272"/>
              <w:spacing w:line="240" w:lineRule="auto"/>
              <w:jc w:val="center"/>
              <w:rPr>
                <w:color w:val="auto"/>
                <w:highlight w:val="none"/>
              </w:rPr>
            </w:pPr>
            <w:r>
              <w:rPr>
                <w:color w:val="auto"/>
                <w:highlight w:val="none"/>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759" w:type="dxa"/>
            <w:vMerge w:val="restart"/>
            <w:vAlign w:val="center"/>
          </w:tcPr>
          <w:p>
            <w:pPr>
              <w:pStyle w:val="272"/>
              <w:spacing w:line="240" w:lineRule="auto"/>
              <w:rPr>
                <w:color w:val="auto"/>
                <w:highlight w:val="none"/>
              </w:rPr>
            </w:pPr>
            <w:r>
              <w:rPr>
                <w:color w:val="auto"/>
                <w:highlight w:val="none"/>
              </w:rPr>
              <w:t>P=10%</w:t>
            </w:r>
          </w:p>
        </w:tc>
        <w:tc>
          <w:tcPr>
            <w:tcW w:w="1055" w:type="dxa"/>
            <w:vAlign w:val="center"/>
          </w:tcPr>
          <w:p>
            <w:pPr>
              <w:pStyle w:val="272"/>
              <w:spacing w:line="240" w:lineRule="auto"/>
              <w:rPr>
                <w:color w:val="auto"/>
                <w:highlight w:val="none"/>
              </w:rPr>
            </w:pPr>
            <w:r>
              <w:rPr>
                <w:color w:val="auto"/>
                <w:highlight w:val="none"/>
              </w:rPr>
              <w:t>Kp</w:t>
            </w:r>
          </w:p>
        </w:tc>
        <w:tc>
          <w:tcPr>
            <w:tcW w:w="1316" w:type="dxa"/>
            <w:vAlign w:val="center"/>
          </w:tcPr>
          <w:p>
            <w:pPr>
              <w:pStyle w:val="272"/>
              <w:spacing w:line="240" w:lineRule="auto"/>
              <w:jc w:val="center"/>
              <w:rPr>
                <w:color w:val="auto"/>
                <w:highlight w:val="none"/>
              </w:rPr>
            </w:pPr>
            <w:r>
              <w:rPr>
                <w:rFonts w:hint="eastAsia"/>
                <w:color w:val="auto"/>
                <w:highlight w:val="none"/>
              </w:rPr>
              <w:t>1.469</w:t>
            </w:r>
          </w:p>
        </w:tc>
        <w:tc>
          <w:tcPr>
            <w:tcW w:w="1622" w:type="dxa"/>
            <w:vAlign w:val="center"/>
          </w:tcPr>
          <w:p>
            <w:pPr>
              <w:pStyle w:val="272"/>
              <w:spacing w:line="240" w:lineRule="auto"/>
              <w:jc w:val="center"/>
              <w:rPr>
                <w:color w:val="auto"/>
                <w:highlight w:val="none"/>
              </w:rPr>
            </w:pPr>
            <w:r>
              <w:rPr>
                <w:rFonts w:cs="Times New Roman"/>
                <w:color w:val="auto"/>
                <w:highlight w:val="none"/>
              </w:rPr>
              <w:t>1.482</w:t>
            </w:r>
          </w:p>
        </w:tc>
        <w:tc>
          <w:tcPr>
            <w:tcW w:w="1244" w:type="dxa"/>
            <w:vAlign w:val="center"/>
          </w:tcPr>
          <w:p>
            <w:pPr>
              <w:pStyle w:val="272"/>
              <w:spacing w:line="240" w:lineRule="auto"/>
              <w:jc w:val="center"/>
              <w:rPr>
                <w:color w:val="auto"/>
                <w:highlight w:val="none"/>
              </w:rPr>
            </w:pPr>
            <w:r>
              <w:rPr>
                <w:rFonts w:cs="Times New Roman"/>
                <w:color w:val="auto"/>
                <w:highlight w:val="none"/>
              </w:rPr>
              <w:t>1.496</w:t>
            </w:r>
          </w:p>
        </w:tc>
        <w:tc>
          <w:tcPr>
            <w:tcW w:w="1244" w:type="dxa"/>
            <w:vAlign w:val="center"/>
          </w:tcPr>
          <w:p>
            <w:pPr>
              <w:pStyle w:val="272"/>
              <w:spacing w:line="240" w:lineRule="auto"/>
              <w:jc w:val="center"/>
              <w:rPr>
                <w:color w:val="auto"/>
                <w:highlight w:val="none"/>
              </w:rPr>
            </w:pPr>
            <w:r>
              <w:rPr>
                <w:rFonts w:cs="Times New Roman"/>
                <w:color w:val="auto"/>
                <w:highlight w:val="none"/>
              </w:rPr>
              <w:t>1.496</w:t>
            </w:r>
          </w:p>
        </w:tc>
        <w:tc>
          <w:tcPr>
            <w:tcW w:w="1282" w:type="dxa"/>
            <w:vAlign w:val="center"/>
          </w:tcPr>
          <w:p>
            <w:pPr>
              <w:pStyle w:val="272"/>
              <w:spacing w:line="240" w:lineRule="auto"/>
              <w:jc w:val="center"/>
              <w:rPr>
                <w:color w:val="auto"/>
                <w:highlight w:val="none"/>
              </w:rPr>
            </w:pPr>
            <w:r>
              <w:rPr>
                <w:rFonts w:cs="Times New Roman"/>
                <w:color w:val="auto"/>
                <w:highlight w:val="none"/>
              </w:rPr>
              <w:t>1.535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759" w:type="dxa"/>
            <w:vMerge w:val="continue"/>
            <w:vAlign w:val="center"/>
          </w:tcPr>
          <w:p>
            <w:pPr>
              <w:pStyle w:val="272"/>
              <w:spacing w:line="240" w:lineRule="auto"/>
              <w:rPr>
                <w:color w:val="auto"/>
                <w:highlight w:val="none"/>
              </w:rPr>
            </w:pPr>
          </w:p>
        </w:tc>
        <w:tc>
          <w:tcPr>
            <w:tcW w:w="1055" w:type="dxa"/>
            <w:vAlign w:val="center"/>
          </w:tcPr>
          <w:p>
            <w:pPr>
              <w:pStyle w:val="272"/>
              <w:spacing w:line="240" w:lineRule="auto"/>
              <w:rPr>
                <w:color w:val="auto"/>
                <w:highlight w:val="none"/>
              </w:rPr>
            </w:pPr>
            <w:r>
              <w:rPr>
                <w:color w:val="auto"/>
                <w:highlight w:val="none"/>
              </w:rPr>
              <w:t>H</w:t>
            </w:r>
            <w:r>
              <w:rPr>
                <w:color w:val="auto"/>
                <w:highlight w:val="none"/>
                <w:vertAlign w:val="subscript"/>
              </w:rPr>
              <w:t>面</w:t>
            </w:r>
            <w:r>
              <w:rPr>
                <w:color w:val="auto"/>
                <w:highlight w:val="none"/>
              </w:rPr>
              <w:t>（mm）</w:t>
            </w:r>
          </w:p>
        </w:tc>
        <w:tc>
          <w:tcPr>
            <w:tcW w:w="1316" w:type="dxa"/>
            <w:vAlign w:val="center"/>
          </w:tcPr>
          <w:p>
            <w:pPr>
              <w:pStyle w:val="272"/>
              <w:spacing w:line="240" w:lineRule="auto"/>
              <w:jc w:val="center"/>
              <w:rPr>
                <w:rFonts w:hint="eastAsia" w:eastAsia="宋体"/>
                <w:color w:val="auto"/>
                <w:highlight w:val="none"/>
                <w:lang w:val="en-US" w:eastAsia="zh-CN"/>
              </w:rPr>
            </w:pPr>
            <w:r>
              <w:rPr>
                <w:rFonts w:hint="eastAsia"/>
                <w:color w:val="auto"/>
                <w:highlight w:val="none"/>
                <w:lang w:val="en-US" w:eastAsia="zh-CN"/>
              </w:rPr>
              <w:t>33.05</w:t>
            </w:r>
          </w:p>
        </w:tc>
        <w:tc>
          <w:tcPr>
            <w:tcW w:w="1622" w:type="dxa"/>
            <w:vAlign w:val="center"/>
          </w:tcPr>
          <w:p>
            <w:pPr>
              <w:pStyle w:val="272"/>
              <w:spacing w:line="240" w:lineRule="auto"/>
              <w:jc w:val="center"/>
              <w:rPr>
                <w:rFonts w:hint="eastAsia" w:eastAsia="宋体"/>
                <w:color w:val="auto"/>
                <w:highlight w:val="none"/>
                <w:lang w:val="en-US" w:eastAsia="zh-CN"/>
              </w:rPr>
            </w:pPr>
            <w:r>
              <w:rPr>
                <w:rFonts w:hint="eastAsia"/>
                <w:color w:val="auto"/>
                <w:highlight w:val="none"/>
                <w:lang w:val="en-US" w:eastAsia="zh-CN"/>
              </w:rPr>
              <w:t>77.06</w:t>
            </w:r>
          </w:p>
        </w:tc>
        <w:tc>
          <w:tcPr>
            <w:tcW w:w="1244" w:type="dxa"/>
            <w:vAlign w:val="center"/>
          </w:tcPr>
          <w:p>
            <w:pPr>
              <w:pStyle w:val="272"/>
              <w:spacing w:line="240" w:lineRule="auto"/>
              <w:jc w:val="center"/>
              <w:rPr>
                <w:rFonts w:hint="eastAsia" w:eastAsia="宋体"/>
                <w:color w:val="auto"/>
                <w:highlight w:val="none"/>
                <w:lang w:val="en-US" w:eastAsia="zh-CN"/>
              </w:rPr>
            </w:pPr>
            <w:r>
              <w:rPr>
                <w:rFonts w:hint="eastAsia"/>
                <w:color w:val="auto"/>
                <w:highlight w:val="none"/>
                <w:lang w:val="en-US" w:eastAsia="zh-CN"/>
              </w:rPr>
              <w:t>157.08</w:t>
            </w:r>
          </w:p>
        </w:tc>
        <w:tc>
          <w:tcPr>
            <w:tcW w:w="1244" w:type="dxa"/>
            <w:vAlign w:val="center"/>
          </w:tcPr>
          <w:p>
            <w:pPr>
              <w:pStyle w:val="272"/>
              <w:spacing w:line="240" w:lineRule="auto"/>
              <w:jc w:val="center"/>
              <w:rPr>
                <w:rFonts w:hint="eastAsia" w:eastAsia="宋体"/>
                <w:color w:val="auto"/>
                <w:highlight w:val="none"/>
                <w:lang w:val="en-US" w:eastAsia="zh-CN"/>
              </w:rPr>
            </w:pPr>
            <w:r>
              <w:rPr>
                <w:rFonts w:hint="eastAsia"/>
                <w:color w:val="auto"/>
                <w:highlight w:val="none"/>
                <w:lang w:val="en-US" w:eastAsia="zh-CN"/>
              </w:rPr>
              <w:t>215.57</w:t>
            </w:r>
          </w:p>
        </w:tc>
        <w:tc>
          <w:tcPr>
            <w:tcW w:w="1282" w:type="dxa"/>
            <w:vAlign w:val="center"/>
          </w:tcPr>
          <w:p>
            <w:pPr>
              <w:pStyle w:val="272"/>
              <w:spacing w:line="240" w:lineRule="auto"/>
              <w:jc w:val="center"/>
              <w:rPr>
                <w:rFonts w:hint="eastAsia" w:eastAsia="宋体"/>
                <w:color w:val="auto"/>
                <w:highlight w:val="none"/>
                <w:lang w:val="en-US" w:eastAsia="zh-CN"/>
              </w:rPr>
            </w:pPr>
            <w:r>
              <w:rPr>
                <w:rFonts w:hint="eastAsia"/>
                <w:color w:val="auto"/>
                <w:highlight w:val="none"/>
                <w:lang w:val="en-US" w:eastAsia="zh-CN"/>
              </w:rPr>
              <w:t>337.70</w:t>
            </w:r>
          </w:p>
        </w:tc>
      </w:tr>
    </w:tbl>
    <w:p>
      <w:pPr>
        <w:ind w:firstLine="480"/>
        <w:rPr>
          <w:color w:val="auto"/>
          <w:highlight w:val="none"/>
        </w:rPr>
      </w:pPr>
      <w:r>
        <w:rPr>
          <w:color w:val="auto"/>
          <w:highlight w:val="none"/>
        </w:rPr>
        <w:t>（2）流域特征参数</w:t>
      </w:r>
    </w:p>
    <w:p>
      <w:pPr>
        <w:ind w:firstLine="480"/>
        <w:rPr>
          <w:color w:val="auto"/>
          <w:kern w:val="0"/>
          <w:highlight w:val="none"/>
          <w:lang w:bidi="en-US"/>
        </w:rPr>
      </w:pPr>
      <w:r>
        <w:rPr>
          <w:rFonts w:hint="eastAsia"/>
          <w:color w:val="auto"/>
          <w:highlight w:val="none"/>
        </w:rPr>
        <w:t>交叉建筑物</w:t>
      </w:r>
      <w:r>
        <w:rPr>
          <w:color w:val="auto"/>
          <w:highlight w:val="none"/>
        </w:rPr>
        <w:t>流域面积</w:t>
      </w:r>
      <w:r>
        <w:rPr>
          <w:color w:val="auto"/>
          <w:kern w:val="0"/>
          <w:highlight w:val="none"/>
          <w:lang w:bidi="en-US"/>
        </w:rPr>
        <w:t>F：在</w:t>
      </w:r>
      <w:r>
        <w:rPr>
          <w:rFonts w:hint="eastAsia"/>
          <w:color w:val="auto"/>
          <w:highlight w:val="none"/>
        </w:rPr>
        <w:t>从化</w:t>
      </w:r>
      <w:r>
        <w:rPr>
          <w:color w:val="auto"/>
          <w:highlight w:val="none"/>
        </w:rPr>
        <w:t>区1/10000地形图</w:t>
      </w:r>
      <w:r>
        <w:rPr>
          <w:color w:val="auto"/>
          <w:kern w:val="0"/>
          <w:highlight w:val="none"/>
          <w:lang w:bidi="en-US"/>
        </w:rPr>
        <w:t>量算；</w:t>
      </w:r>
    </w:p>
    <w:p>
      <w:pPr>
        <w:ind w:firstLine="480"/>
        <w:rPr>
          <w:color w:val="auto"/>
          <w:kern w:val="0"/>
          <w:highlight w:val="none"/>
          <w:lang w:bidi="en-US"/>
        </w:rPr>
      </w:pPr>
      <w:r>
        <w:rPr>
          <w:color w:val="auto"/>
          <w:kern w:val="0"/>
          <w:highlight w:val="none"/>
          <w:lang w:bidi="en-US"/>
        </w:rPr>
        <w:t>干流长度L：根据测量资料及</w:t>
      </w:r>
      <w:r>
        <w:rPr>
          <w:rFonts w:hint="eastAsia"/>
          <w:color w:val="auto"/>
          <w:highlight w:val="none"/>
        </w:rPr>
        <w:t>从化</w:t>
      </w:r>
      <w:r>
        <w:rPr>
          <w:color w:val="auto"/>
          <w:highlight w:val="none"/>
        </w:rPr>
        <w:t>区1/10000地形图</w:t>
      </w:r>
      <w:r>
        <w:rPr>
          <w:color w:val="auto"/>
          <w:kern w:val="0"/>
          <w:highlight w:val="none"/>
          <w:lang w:bidi="en-US"/>
        </w:rPr>
        <w:t>量算</w:t>
      </w:r>
      <w:r>
        <w:rPr>
          <w:rFonts w:hint="eastAsia"/>
          <w:color w:val="auto"/>
          <w:kern w:val="0"/>
          <w:highlight w:val="none"/>
          <w:lang w:bidi="en-US"/>
        </w:rPr>
        <w:t>，</w:t>
      </w:r>
      <w:r>
        <w:rPr>
          <w:color w:val="auto"/>
          <w:kern w:val="0"/>
          <w:highlight w:val="none"/>
          <w:lang w:bidi="en-US"/>
        </w:rPr>
        <w:t>交叉建筑物特征河长根据其集水</w:t>
      </w:r>
      <w:r>
        <w:rPr>
          <w:rFonts w:hint="eastAsia"/>
          <w:color w:val="auto"/>
          <w:kern w:val="0"/>
          <w:highlight w:val="none"/>
          <w:lang w:bidi="en-US"/>
        </w:rPr>
        <w:t>区域</w:t>
      </w:r>
      <w:r>
        <w:rPr>
          <w:color w:val="auto"/>
          <w:kern w:val="0"/>
          <w:highlight w:val="none"/>
          <w:lang w:bidi="en-US"/>
        </w:rPr>
        <w:t>的</w:t>
      </w:r>
      <w:r>
        <w:rPr>
          <w:rFonts w:hint="eastAsia"/>
          <w:color w:val="auto"/>
          <w:kern w:val="0"/>
          <w:highlight w:val="none"/>
          <w:lang w:bidi="en-US"/>
        </w:rPr>
        <w:t>主要</w:t>
      </w:r>
      <w:r>
        <w:rPr>
          <w:color w:val="auto"/>
          <w:kern w:val="0"/>
          <w:highlight w:val="none"/>
          <w:lang w:bidi="en-US"/>
        </w:rPr>
        <w:t>汇水通道量算；</w:t>
      </w:r>
    </w:p>
    <w:p>
      <w:pPr>
        <w:ind w:firstLine="480"/>
        <w:rPr>
          <w:color w:val="auto"/>
          <w:kern w:val="0"/>
          <w:highlight w:val="none"/>
          <w:lang w:bidi="en-US"/>
        </w:rPr>
      </w:pPr>
      <w:r>
        <w:rPr>
          <w:color w:val="auto"/>
          <w:kern w:val="0"/>
          <w:highlight w:val="none"/>
          <w:lang w:bidi="en-US"/>
        </w:rPr>
        <w:t>干流坡降J：根据测量资料及</w:t>
      </w:r>
      <w:r>
        <w:rPr>
          <w:rFonts w:hint="eastAsia"/>
          <w:color w:val="auto"/>
          <w:highlight w:val="none"/>
        </w:rPr>
        <w:t>从化</w:t>
      </w:r>
      <w:r>
        <w:rPr>
          <w:color w:val="auto"/>
          <w:highlight w:val="none"/>
        </w:rPr>
        <w:t>区1/10000地形图</w:t>
      </w:r>
      <w:r>
        <w:rPr>
          <w:color w:val="auto"/>
          <w:kern w:val="0"/>
          <w:highlight w:val="none"/>
          <w:lang w:bidi="en-US"/>
        </w:rPr>
        <w:t>量算各断面高程和对应的河长，采用加权平均方法，按下列公式计算：</w:t>
      </w:r>
    </w:p>
    <w:p>
      <w:pPr>
        <w:ind w:firstLine="480"/>
        <w:rPr>
          <w:color w:val="auto"/>
          <w:kern w:val="0"/>
          <w:highlight w:val="none"/>
        </w:rPr>
      </w:pPr>
      <w:r>
        <w:rPr>
          <w:color w:val="auto"/>
          <w:kern w:val="0"/>
          <w:highlight w:val="none"/>
        </w:rPr>
        <w:drawing>
          <wp:inline distT="0" distB="0" distL="0" distR="0">
            <wp:extent cx="3533775" cy="390525"/>
            <wp:effectExtent l="0" t="0" r="9525"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533775" cy="390525"/>
                    </a:xfrm>
                    <a:prstGeom prst="rect">
                      <a:avLst/>
                    </a:prstGeom>
                    <a:noFill/>
                    <a:ln>
                      <a:noFill/>
                    </a:ln>
                  </pic:spPr>
                </pic:pic>
              </a:graphicData>
            </a:graphic>
          </wp:inline>
        </w:drawing>
      </w:r>
    </w:p>
    <w:p>
      <w:pPr>
        <w:ind w:firstLine="480"/>
        <w:rPr>
          <w:color w:val="auto"/>
          <w:kern w:val="0"/>
          <w:highlight w:val="none"/>
        </w:rPr>
      </w:pPr>
      <w:r>
        <w:rPr>
          <w:color w:val="auto"/>
          <w:kern w:val="0"/>
          <w:highlight w:val="none"/>
        </w:rPr>
        <w:drawing>
          <wp:inline distT="0" distB="0" distL="0" distR="0">
            <wp:extent cx="609600" cy="333375"/>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09600" cy="333375"/>
                    </a:xfrm>
                    <a:prstGeom prst="rect">
                      <a:avLst/>
                    </a:prstGeom>
                    <a:noFill/>
                    <a:ln>
                      <a:noFill/>
                    </a:ln>
                  </pic:spPr>
                </pic:pic>
              </a:graphicData>
            </a:graphic>
          </wp:inline>
        </w:drawing>
      </w:r>
    </w:p>
    <w:p>
      <w:pPr>
        <w:ind w:firstLine="480"/>
        <w:rPr>
          <w:color w:val="auto"/>
          <w:kern w:val="0"/>
          <w:highlight w:val="none"/>
        </w:rPr>
      </w:pPr>
      <w:r>
        <w:rPr>
          <w:color w:val="auto"/>
          <w:kern w:val="0"/>
          <w:highlight w:val="none"/>
        </w:rPr>
        <w:t>式中：Z</w:t>
      </w:r>
      <w:r>
        <w:rPr>
          <w:color w:val="auto"/>
          <w:kern w:val="0"/>
          <w:highlight w:val="none"/>
          <w:vertAlign w:val="subscript"/>
        </w:rPr>
        <w:t>0</w:t>
      </w:r>
      <w:r>
        <w:rPr>
          <w:color w:val="auto"/>
          <w:kern w:val="0"/>
          <w:highlight w:val="none"/>
        </w:rPr>
        <w:t>、Z</w:t>
      </w:r>
      <w:r>
        <w:rPr>
          <w:color w:val="auto"/>
          <w:kern w:val="0"/>
          <w:highlight w:val="none"/>
          <w:vertAlign w:val="subscript"/>
        </w:rPr>
        <w:t>1</w:t>
      </w:r>
      <w:r>
        <w:rPr>
          <w:color w:val="auto"/>
          <w:kern w:val="0"/>
          <w:highlight w:val="none"/>
        </w:rPr>
        <w:t>、Z</w:t>
      </w:r>
      <w:r>
        <w:rPr>
          <w:color w:val="auto"/>
          <w:kern w:val="0"/>
          <w:highlight w:val="none"/>
          <w:vertAlign w:val="subscript"/>
        </w:rPr>
        <w:t>2</w:t>
      </w:r>
      <w:r>
        <w:rPr>
          <w:color w:val="auto"/>
          <w:kern w:val="0"/>
          <w:highlight w:val="none"/>
        </w:rPr>
        <w:t>……Z</w:t>
      </w:r>
      <w:r>
        <w:rPr>
          <w:color w:val="auto"/>
          <w:kern w:val="0"/>
          <w:highlight w:val="none"/>
          <w:vertAlign w:val="subscript"/>
        </w:rPr>
        <w:t>n</w:t>
      </w:r>
      <w:r>
        <w:rPr>
          <w:color w:val="auto"/>
          <w:kern w:val="0"/>
          <w:highlight w:val="none"/>
        </w:rPr>
        <w:t>—河口至上游河道变化特征点的高程（m）；</w:t>
      </w:r>
    </w:p>
    <w:p>
      <w:pPr>
        <w:ind w:firstLine="480"/>
        <w:rPr>
          <w:color w:val="auto"/>
          <w:kern w:val="0"/>
          <w:highlight w:val="none"/>
          <w:lang w:bidi="en-US"/>
        </w:rPr>
      </w:pPr>
      <w:r>
        <w:rPr>
          <w:color w:val="auto"/>
          <w:kern w:val="0"/>
          <w:highlight w:val="none"/>
          <w:lang w:bidi="en-US"/>
        </w:rPr>
        <w:t>L</w:t>
      </w:r>
      <w:r>
        <w:rPr>
          <w:color w:val="auto"/>
          <w:kern w:val="0"/>
          <w:highlight w:val="none"/>
          <w:vertAlign w:val="subscript"/>
          <w:lang w:bidi="en-US"/>
        </w:rPr>
        <w:t>1</w:t>
      </w:r>
      <w:r>
        <w:rPr>
          <w:color w:val="auto"/>
          <w:kern w:val="0"/>
          <w:highlight w:val="none"/>
          <w:lang w:bidi="en-US"/>
        </w:rPr>
        <w:t>、L</w:t>
      </w:r>
      <w:r>
        <w:rPr>
          <w:color w:val="auto"/>
          <w:kern w:val="0"/>
          <w:highlight w:val="none"/>
          <w:vertAlign w:val="subscript"/>
          <w:lang w:bidi="en-US"/>
        </w:rPr>
        <w:t>2</w:t>
      </w:r>
      <w:r>
        <w:rPr>
          <w:color w:val="auto"/>
          <w:kern w:val="0"/>
          <w:highlight w:val="none"/>
          <w:lang w:bidi="en-US"/>
        </w:rPr>
        <w:t>、L</w:t>
      </w:r>
      <w:r>
        <w:rPr>
          <w:color w:val="auto"/>
          <w:kern w:val="0"/>
          <w:highlight w:val="none"/>
          <w:vertAlign w:val="subscript"/>
          <w:lang w:bidi="en-US"/>
        </w:rPr>
        <w:t>3</w:t>
      </w:r>
      <w:r>
        <w:rPr>
          <w:color w:val="auto"/>
          <w:kern w:val="0"/>
          <w:highlight w:val="none"/>
          <w:lang w:bidi="en-US"/>
        </w:rPr>
        <w:t>……L</w:t>
      </w:r>
      <w:r>
        <w:rPr>
          <w:color w:val="auto"/>
          <w:kern w:val="0"/>
          <w:highlight w:val="none"/>
          <w:vertAlign w:val="subscript"/>
          <w:lang w:bidi="en-US"/>
        </w:rPr>
        <w:t>N</w:t>
      </w:r>
      <w:r>
        <w:rPr>
          <w:color w:val="auto"/>
          <w:kern w:val="0"/>
          <w:highlight w:val="none"/>
          <w:lang w:bidi="en-US"/>
        </w:rPr>
        <w:t>—河口至上游河道的相应河长（km）；</w:t>
      </w:r>
    </w:p>
    <w:p>
      <w:pPr>
        <w:ind w:firstLine="480"/>
        <w:rPr>
          <w:color w:val="auto"/>
          <w:kern w:val="0"/>
          <w:highlight w:val="none"/>
          <w:lang w:bidi="en-US"/>
        </w:rPr>
      </w:pPr>
      <w:r>
        <w:rPr>
          <w:color w:val="auto"/>
          <w:kern w:val="0"/>
          <w:highlight w:val="none"/>
          <w:lang w:bidi="en-US"/>
        </w:rPr>
        <w:t>L—总河长（km）；</w:t>
      </w:r>
    </w:p>
    <w:p>
      <w:pPr>
        <w:ind w:firstLine="480"/>
        <w:rPr>
          <w:color w:val="auto"/>
          <w:kern w:val="0"/>
          <w:highlight w:val="none"/>
          <w:lang w:bidi="en-US"/>
        </w:rPr>
      </w:pPr>
      <w:r>
        <w:rPr>
          <w:color w:val="auto"/>
          <w:kern w:val="0"/>
          <w:highlight w:val="none"/>
        </w:rPr>
        <w:drawing>
          <wp:inline distT="0" distB="0" distL="0" distR="0">
            <wp:extent cx="123825" cy="180975"/>
            <wp:effectExtent l="0" t="0" r="9525"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23825" cy="180975"/>
                    </a:xfrm>
                    <a:prstGeom prst="rect">
                      <a:avLst/>
                    </a:prstGeom>
                    <a:noFill/>
                    <a:ln>
                      <a:noFill/>
                    </a:ln>
                  </pic:spPr>
                </pic:pic>
              </a:graphicData>
            </a:graphic>
          </wp:inline>
        </w:drawing>
      </w:r>
      <w:r>
        <w:rPr>
          <w:color w:val="auto"/>
          <w:kern w:val="0"/>
          <w:highlight w:val="none"/>
          <w:lang w:bidi="en-US"/>
        </w:rPr>
        <w:t>—汇流特征参数。</w:t>
      </w:r>
    </w:p>
    <w:p>
      <w:pPr>
        <w:ind w:firstLine="480"/>
        <w:rPr>
          <w:color w:val="auto"/>
          <w:kern w:val="0"/>
          <w:highlight w:val="none"/>
          <w:lang w:bidi="en-US"/>
        </w:rPr>
      </w:pPr>
      <w:r>
        <w:rPr>
          <w:rFonts w:hint="eastAsia"/>
          <w:color w:val="auto"/>
          <w:highlight w:val="none"/>
        </w:rPr>
        <w:t>（</w:t>
      </w:r>
      <w:r>
        <w:rPr>
          <w:color w:val="auto"/>
          <w:highlight w:val="none"/>
        </w:rPr>
        <w:t>3</w:t>
      </w:r>
      <w:r>
        <w:rPr>
          <w:rFonts w:hint="eastAsia"/>
          <w:color w:val="auto"/>
          <w:highlight w:val="none"/>
        </w:rPr>
        <w:t>）</w:t>
      </w:r>
      <w:r>
        <w:rPr>
          <w:color w:val="auto"/>
          <w:kern w:val="0"/>
          <w:highlight w:val="none"/>
          <w:lang w:bidi="en-US"/>
        </w:rPr>
        <w:t>计算方法</w:t>
      </w:r>
    </w:p>
    <w:p>
      <w:pPr>
        <w:ind w:firstLine="480"/>
        <w:rPr>
          <w:color w:val="auto"/>
          <w:highlight w:val="none"/>
        </w:rPr>
      </w:pPr>
      <w:r>
        <w:rPr>
          <w:rFonts w:hint="eastAsia"/>
          <w:color w:val="auto"/>
          <w:highlight w:val="none"/>
        </w:rPr>
        <w:t>由于</w:t>
      </w:r>
      <w:r>
        <w:rPr>
          <w:rFonts w:hint="eastAsia"/>
          <w:color w:val="auto"/>
          <w:highlight w:val="none"/>
          <w:lang w:eastAsia="zh-CN"/>
        </w:rPr>
        <w:t>泄洪闸</w:t>
      </w:r>
      <w:r>
        <w:rPr>
          <w:rFonts w:hint="eastAsia"/>
          <w:color w:val="auto"/>
          <w:highlight w:val="none"/>
        </w:rPr>
        <w:t>集雨面积较小，河长、河道平均比降等流域特征值难以取量，因此本次设计采用广东省洪峰流量经验公式法计算。</w:t>
      </w:r>
    </w:p>
    <w:p>
      <w:pPr>
        <w:ind w:firstLine="480"/>
        <w:rPr>
          <w:color w:val="auto"/>
          <w:kern w:val="0"/>
          <w:highlight w:val="none"/>
          <w:lang w:bidi="en-US"/>
        </w:rPr>
      </w:pPr>
      <w:r>
        <w:rPr>
          <w:rFonts w:hint="eastAsia"/>
          <w:color w:val="auto"/>
          <w:kern w:val="0"/>
          <w:highlight w:val="none"/>
          <w:lang w:bidi="en-US"/>
        </w:rPr>
        <w:t>洪峰流量经验公式为：</w:t>
      </w:r>
    </w:p>
    <w:p>
      <w:pPr>
        <w:ind w:firstLine="480"/>
        <w:rPr>
          <w:color w:val="auto"/>
          <w:kern w:val="0"/>
          <w:highlight w:val="none"/>
          <w:lang w:bidi="en-US"/>
        </w:rPr>
      </w:pPr>
      <w:r>
        <w:rPr>
          <w:color w:val="auto"/>
          <w:kern w:val="0"/>
          <w:highlight w:val="none"/>
          <w:lang w:bidi="en-US"/>
        </w:rPr>
        <w:object>
          <v:shape id="_x0000_i1025" o:spt="75" type="#_x0000_t75" style="height:19.5pt;width:84.75pt;" o:ole="t" filled="f" o:preferrelative="t" stroked="f" coordsize="21600,21600">
            <v:path/>
            <v:fill on="f" focussize="0,0"/>
            <v:stroke on="f" joinstyle="miter"/>
            <v:imagedata r:id="rId25" o:title=""/>
            <o:lock v:ext="edit" aspectratio="t"/>
            <w10:wrap type="none"/>
            <w10:anchorlock/>
          </v:shape>
          <o:OLEObject Type="Embed" ProgID="Equation.DSMT4" ShapeID="_x0000_i1025" DrawAspect="Content" ObjectID="_1468075725" r:id="rId24">
            <o:LockedField>false</o:LockedField>
          </o:OLEObject>
        </w:object>
      </w:r>
    </w:p>
    <w:p>
      <w:pPr>
        <w:ind w:firstLine="480"/>
        <w:rPr>
          <w:color w:val="auto"/>
          <w:kern w:val="0"/>
          <w:highlight w:val="none"/>
          <w:lang w:bidi="en-US"/>
        </w:rPr>
      </w:pPr>
      <w:r>
        <w:rPr>
          <w:rFonts w:hint="eastAsia"/>
          <w:color w:val="auto"/>
          <w:kern w:val="0"/>
          <w:highlight w:val="none"/>
          <w:lang w:bidi="en-US"/>
        </w:rPr>
        <w:t>式中：</w:t>
      </w:r>
      <w:r>
        <w:rPr>
          <w:color w:val="auto"/>
          <w:kern w:val="0"/>
          <w:highlight w:val="none"/>
          <w:lang w:bidi="en-US"/>
        </w:rPr>
        <w:object>
          <v:shape id="_x0000_i1026" o:spt="75" type="#_x0000_t75" style="height:16.5pt;width:44.25pt;" o:ole="t" filled="f" o:preferrelative="t" stroked="f" coordsize="21600,21600">
            <v:path/>
            <v:fill on="f" focussize="0,0"/>
            <v:stroke on="f" joinstyle="miter"/>
            <v:imagedata r:id="rId27" o:title=""/>
            <o:lock v:ext="edit" aspectratio="t"/>
            <w10:wrap type="none"/>
            <w10:anchorlock/>
          </v:shape>
          <o:OLEObject Type="Embed" ProgID="Equation.DSMT4" ShapeID="_x0000_i1026" DrawAspect="Content" ObjectID="_1468075726" r:id="rId26">
            <o:LockedField>false</o:LockedField>
          </o:OLEObject>
        </w:object>
      </w:r>
      <w:r>
        <w:rPr>
          <w:rFonts w:hint="eastAsia"/>
          <w:color w:val="auto"/>
          <w:kern w:val="0"/>
          <w:highlight w:val="none"/>
          <w:lang w:bidi="en-US"/>
        </w:rPr>
        <w:t>某频率的洪峰流量（</w:t>
      </w:r>
      <w:r>
        <w:rPr>
          <w:rFonts w:hint="eastAsia"/>
          <w:color w:val="auto"/>
          <w:kern w:val="0"/>
          <w:highlight w:val="none"/>
          <w:lang w:eastAsia="zh-CN" w:bidi="en-US"/>
        </w:rPr>
        <w:t>m³</w:t>
      </w:r>
      <w:r>
        <w:rPr>
          <w:rFonts w:hint="eastAsia"/>
          <w:color w:val="auto"/>
          <w:kern w:val="0"/>
          <w:highlight w:val="none"/>
          <w:lang w:bidi="en-US"/>
        </w:rPr>
        <w:t>/s）；</w:t>
      </w:r>
    </w:p>
    <w:p>
      <w:pPr>
        <w:ind w:firstLine="480"/>
        <w:rPr>
          <w:color w:val="auto"/>
          <w:kern w:val="0"/>
          <w:highlight w:val="none"/>
          <w:lang w:bidi="en-US"/>
        </w:rPr>
      </w:pPr>
      <w:r>
        <w:rPr>
          <w:rFonts w:hint="eastAsia"/>
          <w:color w:val="auto"/>
          <w:kern w:val="0"/>
          <w:highlight w:val="none"/>
          <w:lang w:bidi="en-US"/>
        </w:rPr>
        <w:t xml:space="preserve">     </w:t>
      </w:r>
      <w:r>
        <w:rPr>
          <w:color w:val="auto"/>
          <w:kern w:val="0"/>
          <w:highlight w:val="none"/>
          <w:lang w:bidi="en-US"/>
        </w:rPr>
        <w:object>
          <v:shape id="_x0000_i1027" o:spt="75" type="#_x0000_t75" style="height:16.5pt;width:40.5pt;" o:ole="t" filled="f" o:preferrelative="t" stroked="f" coordsize="21600,21600">
            <v:path/>
            <v:fill on="f" focussize="0,0"/>
            <v:stroke on="f" joinstyle="miter"/>
            <v:imagedata r:id="rId29" o:title=""/>
            <o:lock v:ext="edit" aspectratio="t"/>
            <w10:wrap type="none"/>
            <w10:anchorlock/>
          </v:shape>
          <o:OLEObject Type="Embed" ProgID="Equation.DSMT4" ShapeID="_x0000_i1027" DrawAspect="Content" ObjectID="_1468075727" r:id="rId28">
            <o:LockedField>false</o:LockedField>
          </o:OLEObject>
        </w:object>
      </w:r>
      <w:r>
        <w:rPr>
          <w:rFonts w:hint="eastAsia"/>
          <w:color w:val="auto"/>
          <w:kern w:val="0"/>
          <w:highlight w:val="none"/>
          <w:lang w:bidi="en-US"/>
        </w:rPr>
        <w:t>经验系数随频率而异，P=5%，</w:t>
      </w:r>
      <w:r>
        <w:rPr>
          <w:color w:val="auto"/>
          <w:kern w:val="0"/>
          <w:highlight w:val="none"/>
          <w:lang w:bidi="en-US"/>
        </w:rPr>
        <w:object>
          <v:shape id="_x0000_i1028" o:spt="75" type="#_x0000_t75" style="height:16.5pt;width:27.75pt;" o:ole="t" filled="f" o:preferrelative="t" stroked="f" coordsize="21600,21600">
            <v:path/>
            <v:fill on="f" focussize="0,0"/>
            <v:stroke on="f" joinstyle="miter"/>
            <v:imagedata r:id="rId31" o:title=""/>
            <o:lock v:ext="edit" aspectratio="t"/>
            <w10:wrap type="none"/>
            <w10:anchorlock/>
          </v:shape>
          <o:OLEObject Type="Embed" ProgID="Equation.DSMT4" ShapeID="_x0000_i1028" DrawAspect="Content" ObjectID="_1468075728" r:id="rId30">
            <o:LockedField>false</o:LockedField>
          </o:OLEObject>
        </w:object>
      </w:r>
      <w:r>
        <w:rPr>
          <w:rFonts w:hint="eastAsia"/>
          <w:color w:val="auto"/>
          <w:kern w:val="0"/>
          <w:highlight w:val="none"/>
          <w:lang w:bidi="en-US"/>
        </w:rPr>
        <w:t>0.046，P=10%，</w:t>
      </w:r>
      <w:r>
        <w:rPr>
          <w:color w:val="auto"/>
          <w:kern w:val="0"/>
          <w:highlight w:val="none"/>
          <w:lang w:bidi="en-US"/>
        </w:rPr>
        <w:object>
          <v:shape id="_x0000_i1029" o:spt="75" type="#_x0000_t75" style="height:16.5pt;width:27.75pt;" o:ole="t" filled="f" o:preferrelative="t" stroked="f" coordsize="21600,21600">
            <v:path/>
            <v:fill on="f" focussize="0,0"/>
            <v:stroke on="f" joinstyle="miter"/>
            <v:imagedata r:id="rId31" o:title=""/>
            <o:lock v:ext="edit" aspectratio="t"/>
            <w10:wrap type="none"/>
            <w10:anchorlock/>
          </v:shape>
          <o:OLEObject Type="Embed" ProgID="Equation.DSMT4" ShapeID="_x0000_i1029" DrawAspect="Content" ObjectID="_1468075729" r:id="rId32">
            <o:LockedField>false</o:LockedField>
          </o:OLEObject>
        </w:object>
      </w:r>
      <w:r>
        <w:rPr>
          <w:rFonts w:hint="eastAsia"/>
          <w:color w:val="auto"/>
          <w:kern w:val="0"/>
          <w:highlight w:val="none"/>
          <w:lang w:bidi="en-US"/>
        </w:rPr>
        <w:t>0.044；</w:t>
      </w:r>
    </w:p>
    <w:p>
      <w:pPr>
        <w:ind w:firstLine="480"/>
        <w:rPr>
          <w:color w:val="auto"/>
          <w:kern w:val="0"/>
          <w:highlight w:val="none"/>
          <w:lang w:bidi="en-US"/>
        </w:rPr>
      </w:pPr>
      <w:r>
        <w:rPr>
          <w:rFonts w:hint="eastAsia"/>
          <w:color w:val="auto"/>
          <w:kern w:val="0"/>
          <w:highlight w:val="none"/>
          <w:lang w:bidi="en-US"/>
        </w:rPr>
        <w:t xml:space="preserve">     </w:t>
      </w:r>
      <w:r>
        <w:rPr>
          <w:color w:val="auto"/>
          <w:kern w:val="0"/>
          <w:highlight w:val="none"/>
          <w:lang w:bidi="en-US"/>
        </w:rPr>
        <w:object>
          <v:shape id="_x0000_i1030" o:spt="75" type="#_x0000_t75" style="height:16.5pt;width:51.75pt;" o:ole="t" filled="f" o:preferrelative="t" stroked="f" coordsize="21600,21600">
            <v:path/>
            <v:fill on="f" focussize="0,0"/>
            <v:stroke on="f" joinstyle="miter"/>
            <v:imagedata r:id="rId34" o:title=""/>
            <o:lock v:ext="edit" aspectratio="t"/>
            <w10:wrap type="none"/>
            <w10:anchorlock/>
          </v:shape>
          <o:OLEObject Type="Embed" ProgID="Equation.DSMT4" ShapeID="_x0000_i1030" DrawAspect="Content" ObjectID="_1468075730" r:id="rId33">
            <o:LockedField>false</o:LockedField>
          </o:OLEObject>
        </w:object>
      </w:r>
      <w:r>
        <w:rPr>
          <w:rFonts w:hint="eastAsia"/>
          <w:color w:val="auto"/>
          <w:kern w:val="0"/>
          <w:highlight w:val="none"/>
          <w:lang w:bidi="en-US"/>
        </w:rPr>
        <w:t>24小时设计暴雨量（mm）；</w:t>
      </w:r>
    </w:p>
    <w:p>
      <w:pPr>
        <w:ind w:firstLine="480"/>
        <w:rPr>
          <w:color w:val="auto"/>
          <w:kern w:val="0"/>
          <w:highlight w:val="none"/>
          <w:lang w:bidi="en-US"/>
        </w:rPr>
      </w:pPr>
      <w:r>
        <w:rPr>
          <w:rFonts w:hint="eastAsia"/>
          <w:color w:val="auto"/>
          <w:kern w:val="0"/>
          <w:highlight w:val="none"/>
          <w:lang w:bidi="en-US"/>
        </w:rPr>
        <w:t xml:space="preserve">     F——集雨面积（k</w:t>
      </w:r>
      <w:r>
        <w:rPr>
          <w:rFonts w:hint="eastAsia"/>
          <w:color w:val="auto"/>
          <w:kern w:val="0"/>
          <w:highlight w:val="none"/>
          <w:lang w:eastAsia="zh-CN" w:bidi="en-US"/>
        </w:rPr>
        <w:t>m²</w:t>
      </w:r>
      <w:r>
        <w:rPr>
          <w:rFonts w:hint="eastAsia"/>
          <w:color w:val="auto"/>
          <w:kern w:val="0"/>
          <w:highlight w:val="none"/>
          <w:lang w:bidi="en-US"/>
        </w:rPr>
        <w:t>）。</w:t>
      </w:r>
    </w:p>
    <w:p>
      <w:pPr>
        <w:ind w:firstLine="480"/>
        <w:rPr>
          <w:color w:val="auto"/>
          <w:highlight w:val="none"/>
        </w:rPr>
      </w:pPr>
      <w:r>
        <w:rPr>
          <w:rFonts w:hint="eastAsia"/>
          <w:color w:val="auto"/>
          <w:highlight w:val="none"/>
        </w:rPr>
        <w:t>（</w:t>
      </w:r>
      <w:r>
        <w:rPr>
          <w:color w:val="auto"/>
          <w:highlight w:val="none"/>
        </w:rPr>
        <w:t>4</w:t>
      </w:r>
      <w:r>
        <w:rPr>
          <w:rFonts w:hint="eastAsia"/>
          <w:color w:val="auto"/>
          <w:highlight w:val="none"/>
        </w:rPr>
        <w:t>）设计</w:t>
      </w:r>
      <w:r>
        <w:rPr>
          <w:color w:val="auto"/>
          <w:highlight w:val="none"/>
        </w:rPr>
        <w:t>排涝流量</w:t>
      </w:r>
    </w:p>
    <w:p>
      <w:pPr>
        <w:ind w:firstLine="480"/>
        <w:rPr>
          <w:color w:val="auto"/>
          <w:highlight w:val="none"/>
        </w:rPr>
      </w:pPr>
      <w:r>
        <w:rPr>
          <w:rFonts w:hint="eastAsia"/>
          <w:color w:val="auto"/>
          <w:highlight w:val="none"/>
        </w:rPr>
        <w:t>根据《从化区水系规划》及本区域其它相关规划，本工程主要</w:t>
      </w:r>
      <w:r>
        <w:rPr>
          <w:color w:val="auto"/>
          <w:highlight w:val="none"/>
        </w:rPr>
        <w:t>位于农田区</w:t>
      </w:r>
      <w:r>
        <w:rPr>
          <w:rFonts w:hint="eastAsia"/>
          <w:color w:val="auto"/>
          <w:highlight w:val="none"/>
        </w:rPr>
        <w:t>，排涝标准为</w:t>
      </w:r>
      <w:r>
        <w:rPr>
          <w:color w:val="auto"/>
          <w:highlight w:val="none"/>
        </w:rPr>
        <w:t>1</w:t>
      </w:r>
      <w:r>
        <w:rPr>
          <w:rFonts w:hint="eastAsia"/>
          <w:color w:val="auto"/>
          <w:highlight w:val="none"/>
        </w:rPr>
        <w:t>0年一遇最大24小时设计暴雨不成灾。</w:t>
      </w:r>
    </w:p>
    <w:p>
      <w:pPr>
        <w:ind w:firstLine="480"/>
        <w:rPr>
          <w:color w:val="auto"/>
          <w:highlight w:val="none"/>
        </w:rPr>
      </w:pPr>
      <w:r>
        <w:rPr>
          <w:rFonts w:hint="eastAsia"/>
          <w:color w:val="auto"/>
          <w:highlight w:val="none"/>
        </w:rPr>
        <w:t>由于本工程</w:t>
      </w:r>
      <w:r>
        <w:rPr>
          <w:rFonts w:hint="eastAsia"/>
          <w:color w:val="auto"/>
          <w:highlight w:val="none"/>
          <w:lang w:eastAsia="zh-CN"/>
        </w:rPr>
        <w:t>泄洪闸</w:t>
      </w:r>
      <w:r>
        <w:rPr>
          <w:rFonts w:hint="eastAsia"/>
          <w:color w:val="auto"/>
          <w:highlight w:val="none"/>
        </w:rPr>
        <w:t>等排水区域面积较小（均≤5k</w:t>
      </w:r>
      <w:r>
        <w:rPr>
          <w:rFonts w:hint="eastAsia"/>
          <w:color w:val="auto"/>
          <w:highlight w:val="none"/>
          <w:lang w:eastAsia="zh-CN"/>
        </w:rPr>
        <w:t>m²</w:t>
      </w:r>
      <w:r>
        <w:rPr>
          <w:rFonts w:hint="eastAsia"/>
          <w:color w:val="auto"/>
          <w:highlight w:val="none"/>
        </w:rPr>
        <w:t>），采用经验公式法计算能较好反映实际情况。且利用流域附近已有工程水文资料复核本次计算设计洪水，成果相差均在合理范围以内（即误差15%左右）。综上所述，本次设计洪水计算成果基本合理。</w:t>
      </w:r>
      <w:r>
        <w:rPr>
          <w:color w:val="auto"/>
          <w:highlight w:val="none"/>
        </w:rPr>
        <w:t>本工程设计排涝流量计算成果见</w:t>
      </w:r>
      <w:r>
        <w:rPr>
          <w:rFonts w:hint="eastAsia"/>
          <w:color w:val="auto"/>
          <w:highlight w:val="none"/>
        </w:rPr>
        <w:t>下表</w:t>
      </w:r>
      <w:r>
        <w:rPr>
          <w:color w:val="auto"/>
          <w:highlight w:val="none"/>
        </w:rPr>
        <w:t>。</w:t>
      </w:r>
    </w:p>
    <w:p>
      <w:pPr>
        <w:pStyle w:val="264"/>
        <w:numPr>
          <w:ilvl w:val="4"/>
          <w:numId w:val="0"/>
        </w:numPr>
        <w:ind w:left="480" w:leftChars="0"/>
        <w:jc w:val="center"/>
        <w:rPr>
          <w:rFonts w:ascii="宋体" w:hAnsi="宋体" w:eastAsia="黑体"/>
          <w:b w:val="0"/>
          <w:color w:val="auto"/>
          <w:highlight w:val="none"/>
        </w:rPr>
      </w:pPr>
      <w:r>
        <w:rPr>
          <w:rFonts w:hint="eastAsia" w:ascii="宋体" w:hAnsi="宋体" w:eastAsia="黑体"/>
          <w:b w:val="0"/>
          <w:color w:val="auto"/>
          <w:highlight w:val="none"/>
          <w:lang w:eastAsia="zh-CN"/>
        </w:rPr>
        <w:t>表</w:t>
      </w:r>
      <w:r>
        <w:rPr>
          <w:rFonts w:hint="eastAsia" w:ascii="宋体" w:hAnsi="宋体" w:eastAsia="黑体"/>
          <w:b w:val="0"/>
          <w:color w:val="auto"/>
          <w:highlight w:val="none"/>
          <w:lang w:val="en-US" w:eastAsia="zh-CN"/>
        </w:rPr>
        <w:t xml:space="preserve">2-6 </w:t>
      </w:r>
      <w:r>
        <w:rPr>
          <w:rFonts w:ascii="宋体" w:hAnsi="宋体" w:eastAsia="黑体"/>
          <w:b w:val="0"/>
          <w:color w:val="auto"/>
          <w:highlight w:val="none"/>
        </w:rPr>
        <w:t>设计</w:t>
      </w:r>
      <w:r>
        <w:rPr>
          <w:rFonts w:hint="eastAsia" w:ascii="宋体" w:hAnsi="宋体" w:eastAsia="黑体"/>
          <w:b w:val="0"/>
          <w:color w:val="auto"/>
          <w:highlight w:val="none"/>
        </w:rPr>
        <w:t>洪水</w:t>
      </w:r>
      <w:r>
        <w:rPr>
          <w:rFonts w:ascii="宋体" w:hAnsi="宋体" w:eastAsia="黑体"/>
          <w:b w:val="0"/>
          <w:color w:val="auto"/>
          <w:highlight w:val="none"/>
        </w:rPr>
        <w:t>计算成果</w:t>
      </w:r>
    </w:p>
    <w:tbl>
      <w:tblPr>
        <w:tblStyle w:val="47"/>
        <w:tblW w:w="87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40"/>
        <w:gridCol w:w="1132"/>
        <w:gridCol w:w="1014"/>
        <w:gridCol w:w="830"/>
        <w:gridCol w:w="1112"/>
        <w:gridCol w:w="1387"/>
        <w:gridCol w:w="16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jc w:val="center"/>
        </w:trPr>
        <w:tc>
          <w:tcPr>
            <w:tcW w:w="1640" w:type="dxa"/>
            <w:shd w:val="clear" w:color="auto" w:fill="auto"/>
            <w:vAlign w:val="center"/>
          </w:tcPr>
          <w:p>
            <w:pPr>
              <w:pStyle w:val="272"/>
              <w:spacing w:line="240" w:lineRule="auto"/>
              <w:rPr>
                <w:color w:val="auto"/>
                <w:highlight w:val="none"/>
              </w:rPr>
            </w:pPr>
            <w:r>
              <w:rPr>
                <w:color w:val="auto"/>
                <w:highlight w:val="none"/>
              </w:rPr>
              <w:t>水闸名称</w:t>
            </w:r>
          </w:p>
        </w:tc>
        <w:tc>
          <w:tcPr>
            <w:tcW w:w="1132" w:type="dxa"/>
            <w:shd w:val="clear" w:color="auto" w:fill="auto"/>
            <w:vAlign w:val="center"/>
          </w:tcPr>
          <w:p>
            <w:pPr>
              <w:pStyle w:val="272"/>
              <w:spacing w:line="240" w:lineRule="auto"/>
              <w:rPr>
                <w:color w:val="auto"/>
                <w:highlight w:val="none"/>
              </w:rPr>
            </w:pPr>
            <w:r>
              <w:rPr>
                <w:color w:val="auto"/>
                <w:highlight w:val="none"/>
              </w:rPr>
              <w:t>所在桩号</w:t>
            </w:r>
          </w:p>
        </w:tc>
        <w:tc>
          <w:tcPr>
            <w:tcW w:w="1014" w:type="dxa"/>
            <w:shd w:val="clear" w:color="auto" w:fill="auto"/>
            <w:vAlign w:val="center"/>
          </w:tcPr>
          <w:p>
            <w:pPr>
              <w:pStyle w:val="272"/>
              <w:spacing w:line="240" w:lineRule="auto"/>
              <w:rPr>
                <w:color w:val="auto"/>
                <w:highlight w:val="none"/>
              </w:rPr>
            </w:pPr>
            <w:r>
              <w:rPr>
                <w:color w:val="auto"/>
                <w:highlight w:val="none"/>
              </w:rPr>
              <w:t>集雨面积</w:t>
            </w:r>
            <w:r>
              <w:rPr>
                <w:rFonts w:hint="eastAsia"/>
                <w:color w:val="auto"/>
                <w:highlight w:val="none"/>
              </w:rPr>
              <w:t>(</w:t>
            </w:r>
            <w:r>
              <w:rPr>
                <w:color w:val="auto"/>
                <w:highlight w:val="none"/>
              </w:rPr>
              <w:t>k</w:t>
            </w:r>
            <w:r>
              <w:rPr>
                <w:rFonts w:hint="eastAsia"/>
                <w:color w:val="auto"/>
                <w:highlight w:val="none"/>
                <w:lang w:eastAsia="zh-CN"/>
              </w:rPr>
              <w:t>m²</w:t>
            </w:r>
            <w:r>
              <w:rPr>
                <w:color w:val="auto"/>
                <w:highlight w:val="none"/>
              </w:rPr>
              <w:t>)</w:t>
            </w:r>
          </w:p>
        </w:tc>
        <w:tc>
          <w:tcPr>
            <w:tcW w:w="830" w:type="dxa"/>
            <w:shd w:val="clear" w:color="auto" w:fill="auto"/>
            <w:vAlign w:val="center"/>
          </w:tcPr>
          <w:p>
            <w:pPr>
              <w:pStyle w:val="272"/>
              <w:spacing w:line="240" w:lineRule="auto"/>
              <w:rPr>
                <w:color w:val="auto"/>
                <w:highlight w:val="none"/>
              </w:rPr>
            </w:pPr>
            <w:r>
              <w:rPr>
                <w:rFonts w:hint="eastAsia"/>
                <w:color w:val="auto"/>
                <w:highlight w:val="none"/>
              </w:rPr>
              <w:t>特征河长(</w:t>
            </w:r>
            <w:r>
              <w:rPr>
                <w:color w:val="auto"/>
                <w:highlight w:val="none"/>
              </w:rPr>
              <w:t>m)</w:t>
            </w:r>
          </w:p>
        </w:tc>
        <w:tc>
          <w:tcPr>
            <w:tcW w:w="1112" w:type="dxa"/>
            <w:vAlign w:val="center"/>
          </w:tcPr>
          <w:p>
            <w:pPr>
              <w:pStyle w:val="272"/>
              <w:spacing w:line="240" w:lineRule="auto"/>
              <w:rPr>
                <w:color w:val="auto"/>
                <w:highlight w:val="none"/>
              </w:rPr>
            </w:pPr>
            <w:r>
              <w:rPr>
                <w:rFonts w:hint="eastAsia"/>
                <w:color w:val="auto"/>
                <w:highlight w:val="none"/>
              </w:rPr>
              <w:t>设计</w:t>
            </w:r>
            <w:r>
              <w:rPr>
                <w:color w:val="auto"/>
                <w:highlight w:val="none"/>
              </w:rPr>
              <w:t>标准</w:t>
            </w:r>
          </w:p>
        </w:tc>
        <w:tc>
          <w:tcPr>
            <w:tcW w:w="1387" w:type="dxa"/>
            <w:vAlign w:val="center"/>
          </w:tcPr>
          <w:p>
            <w:pPr>
              <w:pStyle w:val="272"/>
              <w:spacing w:line="240" w:lineRule="auto"/>
              <w:rPr>
                <w:color w:val="auto"/>
                <w:highlight w:val="none"/>
              </w:rPr>
            </w:pPr>
            <w:r>
              <w:rPr>
                <w:color w:val="auto"/>
                <w:highlight w:val="none"/>
              </w:rPr>
              <w:t>设计洪峰</w:t>
            </w:r>
          </w:p>
          <w:p>
            <w:pPr>
              <w:pStyle w:val="272"/>
              <w:spacing w:line="240" w:lineRule="auto"/>
              <w:rPr>
                <w:color w:val="auto"/>
                <w:highlight w:val="none"/>
              </w:rPr>
            </w:pPr>
            <w:r>
              <w:rPr>
                <w:rFonts w:hint="eastAsia"/>
                <w:color w:val="auto"/>
                <w:highlight w:val="none"/>
              </w:rPr>
              <w:t>(</w:t>
            </w:r>
            <w:r>
              <w:rPr>
                <w:rFonts w:hint="eastAsia"/>
                <w:color w:val="auto"/>
                <w:highlight w:val="none"/>
                <w:lang w:eastAsia="zh-CN"/>
              </w:rPr>
              <w:t>m³</w:t>
            </w:r>
            <w:r>
              <w:rPr>
                <w:color w:val="auto"/>
                <w:highlight w:val="none"/>
              </w:rPr>
              <w:t>/s)</w:t>
            </w:r>
          </w:p>
        </w:tc>
        <w:tc>
          <w:tcPr>
            <w:tcW w:w="1662" w:type="dxa"/>
            <w:shd w:val="clear" w:color="auto" w:fill="auto"/>
            <w:vAlign w:val="center"/>
          </w:tcPr>
          <w:p>
            <w:pPr>
              <w:pStyle w:val="272"/>
              <w:spacing w:line="240" w:lineRule="auto"/>
              <w:rPr>
                <w:color w:val="auto"/>
                <w:highlight w:val="none"/>
              </w:rPr>
            </w:pPr>
            <w:r>
              <w:rPr>
                <w:rFonts w:hint="eastAsia"/>
                <w:color w:val="auto"/>
                <w:highlight w:val="none"/>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640" w:type="dxa"/>
            <w:shd w:val="clear" w:color="auto" w:fill="auto"/>
            <w:vAlign w:val="center"/>
          </w:tcPr>
          <w:p>
            <w:pPr>
              <w:pStyle w:val="272"/>
              <w:spacing w:line="240" w:lineRule="auto"/>
              <w:rPr>
                <w:color w:val="auto"/>
                <w:highlight w:val="none"/>
              </w:rPr>
            </w:pPr>
            <w:r>
              <w:rPr>
                <w:rFonts w:hint="eastAsia"/>
                <w:color w:val="auto"/>
                <w:highlight w:val="none"/>
                <w:lang w:val="en-US" w:eastAsia="zh-CN"/>
              </w:rPr>
              <w:t>1#</w:t>
            </w:r>
            <w:r>
              <w:rPr>
                <w:color w:val="auto"/>
                <w:highlight w:val="none"/>
              </w:rPr>
              <w:t>泄洪闸</w:t>
            </w:r>
          </w:p>
        </w:tc>
        <w:tc>
          <w:tcPr>
            <w:tcW w:w="1132" w:type="dxa"/>
            <w:shd w:val="clear" w:color="auto" w:fill="auto"/>
            <w:vAlign w:val="center"/>
          </w:tcPr>
          <w:p>
            <w:pPr>
              <w:pStyle w:val="272"/>
              <w:spacing w:line="240" w:lineRule="auto"/>
              <w:rPr>
                <w:rFonts w:hint="default" w:eastAsia="宋体"/>
                <w:color w:val="auto"/>
                <w:highlight w:val="none"/>
                <w:lang w:val="en-US" w:eastAsia="zh-CN"/>
              </w:rPr>
            </w:pPr>
            <w:r>
              <w:rPr>
                <w:rFonts w:hint="eastAsia"/>
                <w:color w:val="auto"/>
                <w:highlight w:val="none"/>
                <w:lang w:val="en-US" w:eastAsia="zh-CN"/>
              </w:rPr>
              <w:t>0+005</w:t>
            </w:r>
          </w:p>
        </w:tc>
        <w:tc>
          <w:tcPr>
            <w:tcW w:w="1014" w:type="dxa"/>
            <w:shd w:val="clear" w:color="auto" w:fill="auto"/>
            <w:vAlign w:val="center"/>
          </w:tcPr>
          <w:p>
            <w:pPr>
              <w:pStyle w:val="272"/>
              <w:spacing w:line="240" w:lineRule="auto"/>
              <w:rPr>
                <w:rFonts w:hint="default" w:eastAsia="等线"/>
                <w:color w:val="auto"/>
                <w:szCs w:val="22"/>
                <w:highlight w:val="none"/>
                <w:lang w:val="en-US" w:eastAsia="zh-CN"/>
              </w:rPr>
            </w:pPr>
            <w:r>
              <w:rPr>
                <w:rFonts w:hint="eastAsia" w:eastAsia="等线"/>
                <w:color w:val="auto"/>
                <w:szCs w:val="22"/>
                <w:highlight w:val="none"/>
                <w:lang w:val="en-US" w:eastAsia="zh-CN"/>
              </w:rPr>
              <w:t>0.27</w:t>
            </w:r>
          </w:p>
        </w:tc>
        <w:tc>
          <w:tcPr>
            <w:tcW w:w="830" w:type="dxa"/>
            <w:shd w:val="clear" w:color="auto" w:fill="auto"/>
            <w:vAlign w:val="center"/>
          </w:tcPr>
          <w:p>
            <w:pPr>
              <w:widowControl/>
              <w:spacing w:line="240" w:lineRule="atLeast"/>
              <w:ind w:firstLine="0" w:firstLineChars="0"/>
              <w:jc w:val="center"/>
              <w:rPr>
                <w:rFonts w:hint="default" w:eastAsia="宋体"/>
                <w:color w:val="auto"/>
                <w:highlight w:val="none"/>
                <w:lang w:val="en-US" w:eastAsia="zh-CN"/>
              </w:rPr>
            </w:pPr>
            <w:r>
              <w:rPr>
                <w:rFonts w:hint="eastAsia"/>
                <w:color w:val="auto"/>
                <w:sz w:val="22"/>
                <w:szCs w:val="22"/>
                <w:highlight w:val="none"/>
                <w:lang w:val="en-US" w:eastAsia="zh-CN"/>
              </w:rPr>
              <w:t>610</w:t>
            </w:r>
          </w:p>
        </w:tc>
        <w:tc>
          <w:tcPr>
            <w:tcW w:w="1112" w:type="dxa"/>
            <w:vAlign w:val="center"/>
          </w:tcPr>
          <w:p>
            <w:pPr>
              <w:pStyle w:val="272"/>
              <w:spacing w:line="240" w:lineRule="auto"/>
              <w:rPr>
                <w:color w:val="auto"/>
                <w:highlight w:val="none"/>
              </w:rPr>
            </w:pPr>
            <w:r>
              <w:rPr>
                <w:color w:val="auto"/>
                <w:highlight w:val="none"/>
              </w:rPr>
              <w:t>10年一遇</w:t>
            </w:r>
          </w:p>
        </w:tc>
        <w:tc>
          <w:tcPr>
            <w:tcW w:w="1387" w:type="dxa"/>
            <w:vAlign w:val="center"/>
          </w:tcPr>
          <w:p>
            <w:pPr>
              <w:pStyle w:val="272"/>
              <w:spacing w:line="240" w:lineRule="auto"/>
              <w:rPr>
                <w:rFonts w:hint="default" w:eastAsia="等线"/>
                <w:color w:val="auto"/>
                <w:szCs w:val="22"/>
                <w:highlight w:val="none"/>
                <w:lang w:val="en-US" w:eastAsia="zh-CN"/>
              </w:rPr>
            </w:pPr>
            <w:r>
              <w:rPr>
                <w:rFonts w:hint="eastAsia" w:eastAsia="等线"/>
                <w:color w:val="auto"/>
                <w:szCs w:val="22"/>
                <w:highlight w:val="none"/>
                <w:lang w:val="en-US" w:eastAsia="zh-CN"/>
              </w:rPr>
              <w:t>3.64</w:t>
            </w:r>
          </w:p>
        </w:tc>
        <w:tc>
          <w:tcPr>
            <w:tcW w:w="1662" w:type="dxa"/>
            <w:shd w:val="clear" w:color="auto" w:fill="auto"/>
            <w:vAlign w:val="center"/>
          </w:tcPr>
          <w:p>
            <w:pPr>
              <w:pStyle w:val="272"/>
              <w:spacing w:line="240" w:lineRule="auto"/>
              <w:rPr>
                <w:rFonts w:hint="eastAsia" w:eastAsia="宋体"/>
                <w:color w:val="auto"/>
                <w:highlight w:val="none"/>
                <w:lang w:eastAsia="zh-CN"/>
              </w:rPr>
            </w:pPr>
            <w:r>
              <w:rPr>
                <w:rFonts w:hint="eastAsia"/>
                <w:color w:val="auto"/>
                <w:highlight w:val="none"/>
                <w:lang w:eastAsia="zh-CN"/>
              </w:rPr>
              <w:t>拆除重建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640" w:type="dxa"/>
            <w:shd w:val="clear" w:color="auto" w:fill="auto"/>
            <w:vAlign w:val="center"/>
          </w:tcPr>
          <w:p>
            <w:pPr>
              <w:pStyle w:val="272"/>
              <w:spacing w:line="240" w:lineRule="auto"/>
              <w:ind w:firstLine="0" w:firstLineChars="0"/>
              <w:rPr>
                <w:rFonts w:hint="eastAsia"/>
                <w:color w:val="auto"/>
                <w:highlight w:val="none"/>
                <w:lang w:val="en-US" w:eastAsia="zh-CN"/>
              </w:rPr>
            </w:pPr>
            <w:r>
              <w:rPr>
                <w:rFonts w:hint="eastAsia"/>
                <w:color w:val="auto"/>
                <w:highlight w:val="none"/>
                <w:lang w:val="en-US" w:eastAsia="zh-CN"/>
              </w:rPr>
              <w:t>2#</w:t>
            </w:r>
            <w:r>
              <w:rPr>
                <w:color w:val="auto"/>
                <w:highlight w:val="none"/>
              </w:rPr>
              <w:t>泄洪闸</w:t>
            </w:r>
          </w:p>
        </w:tc>
        <w:tc>
          <w:tcPr>
            <w:tcW w:w="1132" w:type="dxa"/>
            <w:shd w:val="clear" w:color="auto" w:fill="auto"/>
            <w:vAlign w:val="center"/>
          </w:tcPr>
          <w:p>
            <w:pPr>
              <w:pStyle w:val="272"/>
              <w:spacing w:line="240" w:lineRule="auto"/>
              <w:ind w:firstLine="0" w:firstLineChars="0"/>
              <w:rPr>
                <w:rFonts w:hint="eastAsia"/>
                <w:color w:val="auto"/>
                <w:highlight w:val="none"/>
                <w:lang w:val="en-US" w:eastAsia="zh-CN"/>
              </w:rPr>
            </w:pPr>
            <w:r>
              <w:rPr>
                <w:rFonts w:hint="eastAsia"/>
                <w:color w:val="auto"/>
                <w:highlight w:val="none"/>
                <w:lang w:val="en-US" w:eastAsia="zh-CN"/>
              </w:rPr>
              <w:t>0+100</w:t>
            </w:r>
          </w:p>
        </w:tc>
        <w:tc>
          <w:tcPr>
            <w:tcW w:w="1014" w:type="dxa"/>
            <w:shd w:val="clear" w:color="auto" w:fill="auto"/>
            <w:vAlign w:val="center"/>
          </w:tcPr>
          <w:p>
            <w:pPr>
              <w:pStyle w:val="272"/>
              <w:spacing w:line="240" w:lineRule="auto"/>
              <w:ind w:firstLine="0" w:firstLineChars="0"/>
              <w:rPr>
                <w:rFonts w:hint="default" w:eastAsia="等线"/>
                <w:color w:val="auto"/>
                <w:szCs w:val="22"/>
                <w:highlight w:val="none"/>
                <w:lang w:val="en-US" w:eastAsia="zh-CN"/>
              </w:rPr>
            </w:pPr>
            <w:r>
              <w:rPr>
                <w:rFonts w:hint="eastAsia" w:eastAsia="等线"/>
                <w:color w:val="auto"/>
                <w:szCs w:val="22"/>
                <w:highlight w:val="none"/>
                <w:lang w:val="en-US" w:eastAsia="zh-CN"/>
              </w:rPr>
              <w:t>0.17</w:t>
            </w:r>
          </w:p>
        </w:tc>
        <w:tc>
          <w:tcPr>
            <w:tcW w:w="830" w:type="dxa"/>
            <w:shd w:val="clear" w:color="auto" w:fill="auto"/>
            <w:vAlign w:val="center"/>
          </w:tcPr>
          <w:p>
            <w:pPr>
              <w:widowControl/>
              <w:spacing w:line="240" w:lineRule="atLeast"/>
              <w:ind w:firstLine="0" w:firstLineChars="0"/>
              <w:jc w:val="center"/>
              <w:rPr>
                <w:rFonts w:hint="default"/>
                <w:color w:val="auto"/>
                <w:sz w:val="22"/>
                <w:szCs w:val="22"/>
                <w:highlight w:val="none"/>
                <w:lang w:val="en-US" w:eastAsia="zh-CN"/>
              </w:rPr>
            </w:pPr>
            <w:r>
              <w:rPr>
                <w:rFonts w:hint="eastAsia"/>
                <w:color w:val="auto"/>
                <w:sz w:val="22"/>
                <w:szCs w:val="22"/>
                <w:highlight w:val="none"/>
                <w:lang w:val="en-US" w:eastAsia="zh-CN"/>
              </w:rPr>
              <w:t>100</w:t>
            </w:r>
          </w:p>
        </w:tc>
        <w:tc>
          <w:tcPr>
            <w:tcW w:w="1112" w:type="dxa"/>
            <w:vAlign w:val="center"/>
          </w:tcPr>
          <w:p>
            <w:pPr>
              <w:pStyle w:val="272"/>
              <w:spacing w:line="240" w:lineRule="auto"/>
              <w:ind w:firstLine="0" w:firstLineChars="0"/>
              <w:rPr>
                <w:color w:val="auto"/>
                <w:highlight w:val="none"/>
              </w:rPr>
            </w:pPr>
            <w:r>
              <w:rPr>
                <w:color w:val="auto"/>
                <w:highlight w:val="none"/>
              </w:rPr>
              <w:t>10年一遇</w:t>
            </w:r>
          </w:p>
        </w:tc>
        <w:tc>
          <w:tcPr>
            <w:tcW w:w="1387" w:type="dxa"/>
            <w:vAlign w:val="center"/>
          </w:tcPr>
          <w:p>
            <w:pPr>
              <w:pStyle w:val="272"/>
              <w:spacing w:line="240" w:lineRule="auto"/>
              <w:ind w:firstLine="0" w:firstLineChars="0"/>
              <w:rPr>
                <w:rFonts w:hint="default" w:eastAsia="等线"/>
                <w:color w:val="auto"/>
                <w:szCs w:val="22"/>
                <w:highlight w:val="none"/>
                <w:lang w:val="en-US" w:eastAsia="zh-CN"/>
              </w:rPr>
            </w:pPr>
            <w:r>
              <w:rPr>
                <w:rFonts w:hint="eastAsia" w:eastAsia="等线"/>
                <w:color w:val="auto"/>
                <w:szCs w:val="22"/>
                <w:highlight w:val="none"/>
                <w:lang w:val="en-US" w:eastAsia="zh-CN"/>
              </w:rPr>
              <w:t>2.21</w:t>
            </w:r>
          </w:p>
        </w:tc>
        <w:tc>
          <w:tcPr>
            <w:tcW w:w="1662" w:type="dxa"/>
            <w:shd w:val="clear" w:color="auto" w:fill="auto"/>
            <w:vAlign w:val="center"/>
          </w:tcPr>
          <w:p>
            <w:pPr>
              <w:pStyle w:val="272"/>
              <w:spacing w:line="240" w:lineRule="auto"/>
              <w:ind w:firstLine="0" w:firstLineChars="0"/>
              <w:rPr>
                <w:rFonts w:hint="eastAsia"/>
                <w:color w:val="auto"/>
                <w:highlight w:val="none"/>
                <w:lang w:eastAsia="zh-CN"/>
              </w:rPr>
            </w:pPr>
            <w:r>
              <w:rPr>
                <w:rFonts w:hint="eastAsia"/>
                <w:color w:val="auto"/>
                <w:highlight w:val="none"/>
                <w:lang w:eastAsia="zh-CN"/>
              </w:rPr>
              <w:t>拆除重建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640" w:type="dxa"/>
            <w:shd w:val="clear" w:color="auto" w:fill="auto"/>
            <w:vAlign w:val="center"/>
          </w:tcPr>
          <w:p>
            <w:pPr>
              <w:pStyle w:val="272"/>
              <w:spacing w:line="240" w:lineRule="auto"/>
              <w:rPr>
                <w:rFonts w:hint="eastAsia" w:eastAsia="宋体"/>
                <w:color w:val="auto"/>
                <w:highlight w:val="none"/>
                <w:lang w:eastAsia="zh-CN"/>
              </w:rPr>
            </w:pPr>
            <w:r>
              <w:rPr>
                <w:rFonts w:hint="eastAsia"/>
                <w:color w:val="auto"/>
                <w:highlight w:val="none"/>
                <w:lang w:val="en-US" w:eastAsia="zh-CN"/>
              </w:rPr>
              <w:t>3#</w:t>
            </w:r>
            <w:r>
              <w:rPr>
                <w:rFonts w:hint="eastAsia"/>
                <w:color w:val="auto"/>
                <w:highlight w:val="none"/>
                <w:lang w:eastAsia="zh-CN"/>
              </w:rPr>
              <w:t>泄洪闸</w:t>
            </w:r>
          </w:p>
        </w:tc>
        <w:tc>
          <w:tcPr>
            <w:tcW w:w="1132" w:type="dxa"/>
            <w:shd w:val="clear" w:color="auto" w:fill="auto"/>
            <w:vAlign w:val="center"/>
          </w:tcPr>
          <w:p>
            <w:pPr>
              <w:pStyle w:val="272"/>
              <w:spacing w:line="240" w:lineRule="auto"/>
              <w:rPr>
                <w:rFonts w:hint="default" w:eastAsia="宋体"/>
                <w:color w:val="auto"/>
                <w:highlight w:val="none"/>
                <w:lang w:val="en-US" w:eastAsia="zh-CN"/>
              </w:rPr>
            </w:pPr>
            <w:r>
              <w:rPr>
                <w:rFonts w:hint="eastAsia"/>
                <w:color w:val="auto"/>
                <w:highlight w:val="none"/>
                <w:lang w:val="en-US" w:eastAsia="zh-CN"/>
              </w:rPr>
              <w:t>1+000</w:t>
            </w:r>
          </w:p>
        </w:tc>
        <w:tc>
          <w:tcPr>
            <w:tcW w:w="1014" w:type="dxa"/>
            <w:shd w:val="clear" w:color="auto" w:fill="auto"/>
            <w:vAlign w:val="center"/>
          </w:tcPr>
          <w:p>
            <w:pPr>
              <w:pStyle w:val="272"/>
              <w:spacing w:line="240" w:lineRule="auto"/>
              <w:rPr>
                <w:rFonts w:hint="default" w:eastAsia="等线"/>
                <w:color w:val="auto"/>
                <w:szCs w:val="22"/>
                <w:highlight w:val="none"/>
                <w:lang w:val="en-US" w:eastAsia="zh-CN"/>
              </w:rPr>
            </w:pPr>
            <w:r>
              <w:rPr>
                <w:rFonts w:hint="eastAsia" w:eastAsia="等线"/>
                <w:color w:val="auto"/>
                <w:szCs w:val="22"/>
                <w:highlight w:val="none"/>
                <w:lang w:val="en-US" w:eastAsia="zh-CN"/>
              </w:rPr>
              <w:t>0.24</w:t>
            </w:r>
          </w:p>
        </w:tc>
        <w:tc>
          <w:tcPr>
            <w:tcW w:w="830" w:type="dxa"/>
            <w:shd w:val="clear" w:color="auto" w:fill="auto"/>
            <w:vAlign w:val="center"/>
          </w:tcPr>
          <w:p>
            <w:pPr>
              <w:widowControl/>
              <w:spacing w:line="240" w:lineRule="atLeast"/>
              <w:ind w:firstLine="0" w:firstLineChars="0"/>
              <w:jc w:val="center"/>
              <w:rPr>
                <w:rFonts w:hint="default" w:eastAsia="宋体"/>
                <w:color w:val="auto"/>
                <w:highlight w:val="none"/>
                <w:lang w:val="en-US" w:eastAsia="zh-CN"/>
              </w:rPr>
            </w:pPr>
            <w:r>
              <w:rPr>
                <w:rFonts w:hint="eastAsia"/>
                <w:color w:val="auto"/>
                <w:sz w:val="21"/>
                <w:szCs w:val="20"/>
                <w:highlight w:val="none"/>
                <w:lang w:val="en-US" w:eastAsia="zh-CN"/>
              </w:rPr>
              <w:t>900</w:t>
            </w:r>
          </w:p>
        </w:tc>
        <w:tc>
          <w:tcPr>
            <w:tcW w:w="1112" w:type="dxa"/>
            <w:vAlign w:val="center"/>
          </w:tcPr>
          <w:p>
            <w:pPr>
              <w:pStyle w:val="272"/>
              <w:spacing w:line="240" w:lineRule="auto"/>
              <w:rPr>
                <w:color w:val="auto"/>
                <w:highlight w:val="none"/>
              </w:rPr>
            </w:pPr>
            <w:r>
              <w:rPr>
                <w:color w:val="auto"/>
                <w:highlight w:val="none"/>
              </w:rPr>
              <w:t>10年一遇</w:t>
            </w:r>
          </w:p>
        </w:tc>
        <w:tc>
          <w:tcPr>
            <w:tcW w:w="1387" w:type="dxa"/>
            <w:vAlign w:val="center"/>
          </w:tcPr>
          <w:p>
            <w:pPr>
              <w:pStyle w:val="272"/>
              <w:spacing w:line="240" w:lineRule="auto"/>
              <w:rPr>
                <w:rFonts w:hint="default" w:eastAsia="等线"/>
                <w:color w:val="auto"/>
                <w:szCs w:val="22"/>
                <w:highlight w:val="none"/>
                <w:lang w:val="en-US" w:eastAsia="zh-CN"/>
              </w:rPr>
            </w:pPr>
            <w:r>
              <w:rPr>
                <w:rFonts w:hint="eastAsia" w:eastAsia="等线"/>
                <w:color w:val="auto"/>
                <w:szCs w:val="22"/>
                <w:highlight w:val="none"/>
                <w:lang w:val="en-US" w:eastAsia="zh-CN"/>
              </w:rPr>
              <w:t>3.12</w:t>
            </w:r>
          </w:p>
        </w:tc>
        <w:tc>
          <w:tcPr>
            <w:tcW w:w="1662" w:type="dxa"/>
            <w:shd w:val="clear" w:color="auto" w:fill="auto"/>
            <w:vAlign w:val="center"/>
          </w:tcPr>
          <w:p>
            <w:pPr>
              <w:pStyle w:val="272"/>
              <w:spacing w:line="240" w:lineRule="auto"/>
              <w:rPr>
                <w:color w:val="auto"/>
                <w:highlight w:val="none"/>
              </w:rPr>
            </w:pPr>
            <w:r>
              <w:rPr>
                <w:rFonts w:hint="eastAsia"/>
                <w:color w:val="auto"/>
                <w:highlight w:val="none"/>
                <w:lang w:eastAsia="zh-CN"/>
              </w:rPr>
              <w:t>新</w:t>
            </w:r>
            <w:r>
              <w:rPr>
                <w:rFonts w:hint="eastAsia"/>
                <w:color w:val="auto"/>
                <w:highlight w:val="none"/>
              </w:rPr>
              <w:t>建</w:t>
            </w:r>
          </w:p>
        </w:tc>
      </w:tr>
    </w:tbl>
    <w:p>
      <w:pPr>
        <w:ind w:firstLine="480"/>
        <w:rPr>
          <w:color w:val="auto"/>
          <w:highlight w:val="none"/>
        </w:rPr>
      </w:pPr>
      <w:r>
        <w:rPr>
          <w:rFonts w:hint="eastAsia"/>
          <w:color w:val="auto"/>
          <w:highlight w:val="none"/>
        </w:rPr>
        <w:t>由于本工程</w:t>
      </w:r>
      <w:r>
        <w:rPr>
          <w:rFonts w:hint="eastAsia"/>
          <w:color w:val="auto"/>
          <w:highlight w:val="none"/>
          <w:lang w:eastAsia="zh-CN"/>
        </w:rPr>
        <w:t>泄洪闸</w:t>
      </w:r>
      <w:r>
        <w:rPr>
          <w:rFonts w:hint="eastAsia"/>
          <w:color w:val="auto"/>
          <w:highlight w:val="none"/>
        </w:rPr>
        <w:t>的排水区域面积较小（均≤5k</w:t>
      </w:r>
      <w:r>
        <w:rPr>
          <w:rFonts w:hint="eastAsia"/>
          <w:color w:val="auto"/>
          <w:highlight w:val="none"/>
          <w:lang w:eastAsia="zh-CN"/>
        </w:rPr>
        <w:t>m²</w:t>
      </w:r>
      <w:r>
        <w:rPr>
          <w:rFonts w:hint="eastAsia"/>
          <w:color w:val="auto"/>
          <w:highlight w:val="none"/>
        </w:rPr>
        <w:t>），采用经验公式法计算能较好反映实际情况。且利用流域附近已有工程水文资料复核本次计算设计洪水，成果相差均在合理范围以内（即误差15%左右）。</w:t>
      </w:r>
    </w:p>
    <w:p>
      <w:pPr>
        <w:ind w:firstLine="480"/>
        <w:rPr>
          <w:color w:val="auto"/>
          <w:highlight w:val="none"/>
        </w:rPr>
      </w:pPr>
      <w:r>
        <w:rPr>
          <w:rFonts w:hint="eastAsia"/>
          <w:color w:val="auto"/>
          <w:highlight w:val="none"/>
        </w:rPr>
        <w:t>综上所述，本次设计洪水计算成果基本合理。</w:t>
      </w:r>
    </w:p>
    <w:p>
      <w:pPr>
        <w:pStyle w:val="335"/>
        <w:spacing w:before="120" w:after="120"/>
        <w:rPr>
          <w:color w:val="auto"/>
          <w:highlight w:val="none"/>
        </w:rPr>
      </w:pPr>
      <w:r>
        <w:rPr>
          <w:color w:val="auto"/>
          <w:highlight w:val="none"/>
        </w:rPr>
        <w:t xml:space="preserve">2.5.4 </w:t>
      </w:r>
      <w:r>
        <w:rPr>
          <w:rFonts w:hint="eastAsia"/>
          <w:color w:val="auto"/>
          <w:highlight w:val="none"/>
        </w:rPr>
        <w:t>施工期洪水</w:t>
      </w:r>
    </w:p>
    <w:p>
      <w:pPr>
        <w:ind w:firstLine="480"/>
        <w:rPr>
          <w:rFonts w:hint="eastAsia"/>
          <w:color w:val="auto"/>
          <w:highlight w:val="none"/>
        </w:rPr>
      </w:pPr>
      <w:r>
        <w:rPr>
          <w:rFonts w:hint="eastAsia"/>
          <w:color w:val="auto"/>
          <w:highlight w:val="none"/>
        </w:rPr>
        <w:t>根据《灌溉与排水工程设计标准》（GB50288-2018），《水利水电工程等级划分及洪水标准》（SL252-2017），灌溉渠道等级与灌溉设计流量相关，根据渠道各段灌溉设计流量，</w:t>
      </w:r>
      <w:r>
        <w:rPr>
          <w:rFonts w:hint="eastAsia"/>
          <w:color w:val="auto"/>
          <w:highlight w:val="none"/>
          <w:lang w:eastAsia="zh-CN"/>
        </w:rPr>
        <w:t>南大水库灌区</w:t>
      </w:r>
      <w:r>
        <w:rPr>
          <w:rFonts w:hint="eastAsia"/>
          <w:color w:val="auto"/>
          <w:highlight w:val="none"/>
        </w:rPr>
        <w:t>干渠全段为5级渠道。因此，施工期临时建筑物级别为5级，施工期洪水标准均取5年一遇</w:t>
      </w:r>
      <w:r>
        <w:rPr>
          <w:rFonts w:hint="eastAsia"/>
          <w:color w:val="auto"/>
          <w:highlight w:val="none"/>
          <w:lang w:eastAsia="zh-CN"/>
        </w:rPr>
        <w:t>，本工程施工期设计洪水计算</w:t>
      </w:r>
      <w:r>
        <w:rPr>
          <w:rFonts w:hint="eastAsia"/>
          <w:color w:val="auto"/>
          <w:highlight w:val="none"/>
        </w:rPr>
        <w:t>成果见下表：</w:t>
      </w:r>
    </w:p>
    <w:p>
      <w:pPr>
        <w:ind w:firstLine="480"/>
        <w:rPr>
          <w:rFonts w:hint="eastAsia"/>
          <w:color w:val="auto"/>
          <w:highlight w:val="none"/>
        </w:rPr>
      </w:pPr>
      <w:r>
        <w:rPr>
          <w:rFonts w:hint="eastAsia"/>
          <w:color w:val="auto"/>
          <w:highlight w:val="none"/>
        </w:rPr>
        <w:br w:type="page"/>
      </w:r>
    </w:p>
    <w:p>
      <w:pPr>
        <w:ind w:firstLine="480"/>
        <w:rPr>
          <w:rFonts w:hint="eastAsia"/>
          <w:color w:val="auto"/>
          <w:highlight w:val="none"/>
        </w:rPr>
      </w:pPr>
    </w:p>
    <w:p>
      <w:pPr>
        <w:pStyle w:val="264"/>
        <w:numPr>
          <w:ilvl w:val="4"/>
          <w:numId w:val="0"/>
        </w:numPr>
        <w:ind w:left="480" w:leftChars="0"/>
        <w:jc w:val="center"/>
        <w:rPr>
          <w:rFonts w:ascii="宋体" w:hAnsi="宋体" w:eastAsia="黑体"/>
          <w:b w:val="0"/>
          <w:color w:val="auto"/>
          <w:highlight w:val="none"/>
        </w:rPr>
      </w:pPr>
      <w:r>
        <w:rPr>
          <w:rFonts w:hint="eastAsia" w:ascii="宋体" w:hAnsi="宋体" w:eastAsia="黑体"/>
          <w:b w:val="0"/>
          <w:color w:val="auto"/>
          <w:highlight w:val="none"/>
          <w:lang w:eastAsia="zh-CN"/>
        </w:rPr>
        <w:t>表</w:t>
      </w:r>
      <w:r>
        <w:rPr>
          <w:rFonts w:hint="eastAsia" w:ascii="宋体" w:hAnsi="宋体" w:eastAsia="黑体"/>
          <w:b w:val="0"/>
          <w:color w:val="auto"/>
          <w:highlight w:val="none"/>
          <w:lang w:val="en-US" w:eastAsia="zh-CN"/>
        </w:rPr>
        <w:t xml:space="preserve">2-7 </w:t>
      </w:r>
      <w:r>
        <w:rPr>
          <w:rFonts w:hint="eastAsia" w:ascii="宋体" w:hAnsi="宋体" w:eastAsia="黑体"/>
          <w:b w:val="0"/>
          <w:color w:val="auto"/>
          <w:highlight w:val="none"/>
        </w:rPr>
        <w:t>施工期</w:t>
      </w:r>
      <w:r>
        <w:rPr>
          <w:rFonts w:ascii="宋体" w:hAnsi="宋体" w:eastAsia="黑体"/>
          <w:b w:val="0"/>
          <w:color w:val="auto"/>
          <w:highlight w:val="none"/>
        </w:rPr>
        <w:t>设计</w:t>
      </w:r>
      <w:r>
        <w:rPr>
          <w:rFonts w:hint="eastAsia" w:ascii="宋体" w:hAnsi="宋体" w:eastAsia="黑体"/>
          <w:b w:val="0"/>
          <w:color w:val="auto"/>
          <w:highlight w:val="none"/>
        </w:rPr>
        <w:t>洪水</w:t>
      </w:r>
      <w:r>
        <w:rPr>
          <w:rFonts w:ascii="宋体" w:hAnsi="宋体" w:eastAsia="黑体"/>
          <w:b w:val="0"/>
          <w:color w:val="auto"/>
          <w:highlight w:val="none"/>
        </w:rPr>
        <w:t>计算成果</w:t>
      </w:r>
    </w:p>
    <w:tbl>
      <w:tblPr>
        <w:tblStyle w:val="47"/>
        <w:tblW w:w="87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22"/>
        <w:gridCol w:w="1057"/>
        <w:gridCol w:w="1752"/>
        <w:gridCol w:w="1425"/>
        <w:gridCol w:w="1107"/>
        <w:gridCol w:w="15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jc w:val="center"/>
        </w:trPr>
        <w:tc>
          <w:tcPr>
            <w:tcW w:w="1922" w:type="dxa"/>
            <w:shd w:val="clear" w:color="auto" w:fill="auto"/>
            <w:vAlign w:val="center"/>
          </w:tcPr>
          <w:p>
            <w:pPr>
              <w:pStyle w:val="272"/>
              <w:spacing w:line="240" w:lineRule="auto"/>
              <w:rPr>
                <w:color w:val="auto"/>
                <w:highlight w:val="none"/>
              </w:rPr>
            </w:pPr>
            <w:r>
              <w:rPr>
                <w:color w:val="auto"/>
                <w:highlight w:val="none"/>
              </w:rPr>
              <w:t>水闸名称</w:t>
            </w:r>
          </w:p>
        </w:tc>
        <w:tc>
          <w:tcPr>
            <w:tcW w:w="1057" w:type="dxa"/>
            <w:shd w:val="clear" w:color="auto" w:fill="auto"/>
            <w:vAlign w:val="center"/>
          </w:tcPr>
          <w:p>
            <w:pPr>
              <w:pStyle w:val="272"/>
              <w:spacing w:line="240" w:lineRule="auto"/>
              <w:ind w:firstLine="0" w:firstLineChars="0"/>
              <w:rPr>
                <w:color w:val="auto"/>
                <w:highlight w:val="none"/>
              </w:rPr>
            </w:pPr>
            <w:r>
              <w:rPr>
                <w:color w:val="auto"/>
                <w:highlight w:val="none"/>
              </w:rPr>
              <w:t>所在桩号</w:t>
            </w:r>
          </w:p>
        </w:tc>
        <w:tc>
          <w:tcPr>
            <w:tcW w:w="1752" w:type="dxa"/>
            <w:shd w:val="clear" w:color="auto" w:fill="auto"/>
            <w:vAlign w:val="center"/>
          </w:tcPr>
          <w:p>
            <w:pPr>
              <w:pStyle w:val="272"/>
              <w:spacing w:line="240" w:lineRule="auto"/>
              <w:rPr>
                <w:color w:val="auto"/>
                <w:highlight w:val="none"/>
              </w:rPr>
            </w:pPr>
            <w:r>
              <w:rPr>
                <w:color w:val="auto"/>
                <w:highlight w:val="none"/>
              </w:rPr>
              <w:t>集雨面积</w:t>
            </w:r>
          </w:p>
          <w:p>
            <w:pPr>
              <w:pStyle w:val="272"/>
              <w:spacing w:line="240" w:lineRule="auto"/>
              <w:rPr>
                <w:color w:val="auto"/>
                <w:highlight w:val="none"/>
              </w:rPr>
            </w:pPr>
            <w:r>
              <w:rPr>
                <w:rFonts w:hint="eastAsia"/>
                <w:color w:val="auto"/>
                <w:highlight w:val="none"/>
              </w:rPr>
              <w:t>(</w:t>
            </w:r>
            <w:r>
              <w:rPr>
                <w:color w:val="auto"/>
                <w:highlight w:val="none"/>
              </w:rPr>
              <w:t>k</w:t>
            </w:r>
            <w:r>
              <w:rPr>
                <w:rFonts w:hint="eastAsia"/>
                <w:color w:val="auto"/>
                <w:highlight w:val="none"/>
                <w:lang w:eastAsia="zh-CN"/>
              </w:rPr>
              <w:t>m²</w:t>
            </w:r>
            <w:r>
              <w:rPr>
                <w:color w:val="auto"/>
                <w:highlight w:val="none"/>
              </w:rPr>
              <w:t>)</w:t>
            </w:r>
          </w:p>
        </w:tc>
        <w:tc>
          <w:tcPr>
            <w:tcW w:w="1425" w:type="dxa"/>
            <w:shd w:val="clear" w:color="auto" w:fill="auto"/>
            <w:vAlign w:val="center"/>
          </w:tcPr>
          <w:p>
            <w:pPr>
              <w:pStyle w:val="272"/>
              <w:spacing w:line="240" w:lineRule="auto"/>
              <w:rPr>
                <w:rFonts w:hint="eastAsia"/>
                <w:color w:val="auto"/>
                <w:highlight w:val="none"/>
              </w:rPr>
            </w:pPr>
            <w:r>
              <w:rPr>
                <w:rFonts w:hint="eastAsia"/>
                <w:color w:val="auto"/>
                <w:highlight w:val="none"/>
              </w:rPr>
              <w:t>特征河长</w:t>
            </w:r>
          </w:p>
          <w:p>
            <w:pPr>
              <w:pStyle w:val="272"/>
              <w:spacing w:line="240" w:lineRule="auto"/>
              <w:rPr>
                <w:color w:val="auto"/>
                <w:highlight w:val="none"/>
              </w:rPr>
            </w:pPr>
            <w:r>
              <w:rPr>
                <w:rFonts w:hint="eastAsia"/>
                <w:color w:val="auto"/>
                <w:highlight w:val="none"/>
              </w:rPr>
              <w:t>(</w:t>
            </w:r>
            <w:r>
              <w:rPr>
                <w:color w:val="auto"/>
                <w:highlight w:val="none"/>
              </w:rPr>
              <w:t>m)</w:t>
            </w:r>
          </w:p>
        </w:tc>
        <w:tc>
          <w:tcPr>
            <w:tcW w:w="1107" w:type="dxa"/>
            <w:vAlign w:val="center"/>
          </w:tcPr>
          <w:p>
            <w:pPr>
              <w:pStyle w:val="272"/>
              <w:spacing w:line="240" w:lineRule="auto"/>
              <w:rPr>
                <w:color w:val="auto"/>
                <w:highlight w:val="none"/>
              </w:rPr>
            </w:pPr>
            <w:r>
              <w:rPr>
                <w:rFonts w:hint="eastAsia"/>
                <w:color w:val="auto"/>
                <w:highlight w:val="none"/>
              </w:rPr>
              <w:t>设计</w:t>
            </w:r>
            <w:r>
              <w:rPr>
                <w:color w:val="auto"/>
                <w:highlight w:val="none"/>
              </w:rPr>
              <w:t>标准</w:t>
            </w:r>
          </w:p>
        </w:tc>
        <w:tc>
          <w:tcPr>
            <w:tcW w:w="1514" w:type="dxa"/>
            <w:vAlign w:val="center"/>
          </w:tcPr>
          <w:p>
            <w:pPr>
              <w:pStyle w:val="272"/>
              <w:spacing w:line="240" w:lineRule="auto"/>
              <w:rPr>
                <w:color w:val="auto"/>
                <w:highlight w:val="none"/>
              </w:rPr>
            </w:pPr>
            <w:r>
              <w:rPr>
                <w:color w:val="auto"/>
                <w:highlight w:val="none"/>
              </w:rPr>
              <w:t>设计洪峰</w:t>
            </w:r>
          </w:p>
          <w:p>
            <w:pPr>
              <w:pStyle w:val="272"/>
              <w:spacing w:line="240" w:lineRule="auto"/>
              <w:rPr>
                <w:color w:val="auto"/>
                <w:highlight w:val="none"/>
              </w:rPr>
            </w:pPr>
            <w:r>
              <w:rPr>
                <w:rFonts w:hint="eastAsia"/>
                <w:color w:val="auto"/>
                <w:highlight w:val="none"/>
              </w:rPr>
              <w:t>(</w:t>
            </w:r>
            <w:r>
              <w:rPr>
                <w:rFonts w:hint="eastAsia"/>
                <w:color w:val="auto"/>
                <w:highlight w:val="none"/>
                <w:lang w:eastAsia="zh-CN"/>
              </w:rPr>
              <w:t>m³</w:t>
            </w:r>
            <w:r>
              <w:rPr>
                <w:color w:val="auto"/>
                <w:highlight w:val="none"/>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922" w:type="dxa"/>
            <w:shd w:val="clear" w:color="auto" w:fill="auto"/>
            <w:vAlign w:val="center"/>
          </w:tcPr>
          <w:p>
            <w:pPr>
              <w:pStyle w:val="272"/>
              <w:spacing w:line="240" w:lineRule="auto"/>
              <w:ind w:firstLine="0" w:firstLineChars="0"/>
              <w:rPr>
                <w:color w:val="auto"/>
                <w:highlight w:val="none"/>
              </w:rPr>
            </w:pPr>
            <w:r>
              <w:rPr>
                <w:rFonts w:hint="eastAsia"/>
                <w:color w:val="auto"/>
                <w:highlight w:val="none"/>
                <w:lang w:val="en-US" w:eastAsia="zh-CN"/>
              </w:rPr>
              <w:t>1#</w:t>
            </w:r>
            <w:r>
              <w:rPr>
                <w:color w:val="auto"/>
                <w:highlight w:val="none"/>
              </w:rPr>
              <w:t>泄洪闸</w:t>
            </w:r>
          </w:p>
        </w:tc>
        <w:tc>
          <w:tcPr>
            <w:tcW w:w="1057" w:type="dxa"/>
            <w:shd w:val="clear" w:color="auto" w:fill="auto"/>
            <w:vAlign w:val="center"/>
          </w:tcPr>
          <w:p>
            <w:pPr>
              <w:pStyle w:val="272"/>
              <w:spacing w:line="240" w:lineRule="auto"/>
              <w:ind w:firstLine="0" w:firstLineChars="0"/>
              <w:rPr>
                <w:color w:val="auto"/>
                <w:highlight w:val="none"/>
              </w:rPr>
            </w:pPr>
            <w:r>
              <w:rPr>
                <w:rFonts w:hint="eastAsia"/>
                <w:color w:val="auto"/>
                <w:highlight w:val="none"/>
                <w:lang w:val="en-US" w:eastAsia="zh-CN"/>
              </w:rPr>
              <w:t>0+005</w:t>
            </w:r>
          </w:p>
        </w:tc>
        <w:tc>
          <w:tcPr>
            <w:tcW w:w="1752" w:type="dxa"/>
            <w:shd w:val="clear" w:color="auto" w:fill="auto"/>
            <w:vAlign w:val="center"/>
          </w:tcPr>
          <w:p>
            <w:pPr>
              <w:pStyle w:val="272"/>
              <w:spacing w:line="240" w:lineRule="auto"/>
              <w:ind w:firstLine="0" w:firstLineChars="0"/>
              <w:rPr>
                <w:rFonts w:hint="default" w:eastAsia="等线"/>
                <w:color w:val="auto"/>
                <w:szCs w:val="22"/>
                <w:highlight w:val="none"/>
                <w:lang w:val="en-US"/>
              </w:rPr>
            </w:pPr>
            <w:r>
              <w:rPr>
                <w:rFonts w:hint="eastAsia" w:eastAsia="等线"/>
                <w:color w:val="auto"/>
                <w:szCs w:val="22"/>
                <w:highlight w:val="none"/>
                <w:lang w:val="en-US" w:eastAsia="zh-CN"/>
              </w:rPr>
              <w:t>0.27</w:t>
            </w:r>
          </w:p>
        </w:tc>
        <w:tc>
          <w:tcPr>
            <w:tcW w:w="1425" w:type="dxa"/>
            <w:shd w:val="clear" w:color="auto" w:fill="auto"/>
            <w:vAlign w:val="center"/>
          </w:tcPr>
          <w:p>
            <w:pPr>
              <w:widowControl/>
              <w:spacing w:line="240" w:lineRule="atLeast"/>
              <w:ind w:firstLine="0" w:firstLineChars="0"/>
              <w:jc w:val="center"/>
              <w:rPr>
                <w:color w:val="auto"/>
                <w:highlight w:val="none"/>
              </w:rPr>
            </w:pPr>
            <w:r>
              <w:rPr>
                <w:rFonts w:hint="eastAsia"/>
                <w:color w:val="auto"/>
                <w:sz w:val="22"/>
                <w:szCs w:val="22"/>
                <w:highlight w:val="none"/>
                <w:lang w:val="en-US" w:eastAsia="zh-CN"/>
              </w:rPr>
              <w:t>610</w:t>
            </w:r>
          </w:p>
        </w:tc>
        <w:tc>
          <w:tcPr>
            <w:tcW w:w="1107" w:type="dxa"/>
            <w:vAlign w:val="center"/>
          </w:tcPr>
          <w:p>
            <w:pPr>
              <w:pStyle w:val="272"/>
              <w:spacing w:line="240" w:lineRule="auto"/>
              <w:rPr>
                <w:color w:val="auto"/>
                <w:highlight w:val="none"/>
              </w:rPr>
            </w:pPr>
            <w:r>
              <w:rPr>
                <w:color w:val="auto"/>
                <w:highlight w:val="none"/>
              </w:rPr>
              <w:t>5年一遇</w:t>
            </w:r>
          </w:p>
        </w:tc>
        <w:tc>
          <w:tcPr>
            <w:tcW w:w="1514" w:type="dxa"/>
            <w:vAlign w:val="center"/>
          </w:tcPr>
          <w:p>
            <w:pPr>
              <w:pStyle w:val="272"/>
              <w:spacing w:line="240" w:lineRule="auto"/>
              <w:rPr>
                <w:rFonts w:hint="default" w:eastAsia="宋体"/>
                <w:color w:val="auto"/>
                <w:highlight w:val="none"/>
                <w:lang w:val="en-US" w:eastAsia="zh-CN"/>
              </w:rPr>
            </w:pPr>
            <w:r>
              <w:rPr>
                <w:rFonts w:hint="eastAsia"/>
                <w:color w:val="auto"/>
                <w:highlight w:val="none"/>
                <w:lang w:val="en-US" w:eastAsia="zh-CN"/>
              </w:rPr>
              <w:t>2.16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922" w:type="dxa"/>
            <w:shd w:val="clear" w:color="auto" w:fill="auto"/>
            <w:vAlign w:val="center"/>
          </w:tcPr>
          <w:p>
            <w:pPr>
              <w:pStyle w:val="272"/>
              <w:spacing w:line="240" w:lineRule="auto"/>
              <w:ind w:firstLine="0" w:firstLineChars="0"/>
              <w:rPr>
                <w:rFonts w:hint="eastAsia" w:eastAsia="宋体"/>
                <w:color w:val="auto"/>
                <w:highlight w:val="none"/>
                <w:lang w:eastAsia="zh-CN"/>
              </w:rPr>
            </w:pPr>
            <w:r>
              <w:rPr>
                <w:rFonts w:hint="eastAsia"/>
                <w:color w:val="auto"/>
                <w:highlight w:val="none"/>
                <w:lang w:val="en-US" w:eastAsia="zh-CN"/>
              </w:rPr>
              <w:t>2#</w:t>
            </w:r>
            <w:r>
              <w:rPr>
                <w:rFonts w:hint="eastAsia"/>
                <w:color w:val="auto"/>
                <w:highlight w:val="none"/>
                <w:lang w:eastAsia="zh-CN"/>
              </w:rPr>
              <w:t>泄洪闸</w:t>
            </w:r>
          </w:p>
        </w:tc>
        <w:tc>
          <w:tcPr>
            <w:tcW w:w="1057" w:type="dxa"/>
            <w:shd w:val="clear" w:color="auto" w:fill="auto"/>
            <w:vAlign w:val="center"/>
          </w:tcPr>
          <w:p>
            <w:pPr>
              <w:pStyle w:val="272"/>
              <w:spacing w:line="240" w:lineRule="auto"/>
              <w:ind w:firstLine="0" w:firstLineChars="0"/>
              <w:rPr>
                <w:color w:val="auto"/>
                <w:highlight w:val="none"/>
              </w:rPr>
            </w:pPr>
            <w:r>
              <w:rPr>
                <w:rFonts w:hint="eastAsia"/>
                <w:color w:val="auto"/>
                <w:highlight w:val="none"/>
                <w:lang w:val="en-US" w:eastAsia="zh-CN"/>
              </w:rPr>
              <w:t>0+100</w:t>
            </w:r>
          </w:p>
        </w:tc>
        <w:tc>
          <w:tcPr>
            <w:tcW w:w="1752" w:type="dxa"/>
            <w:shd w:val="clear" w:color="auto" w:fill="auto"/>
            <w:vAlign w:val="center"/>
          </w:tcPr>
          <w:p>
            <w:pPr>
              <w:pStyle w:val="272"/>
              <w:spacing w:line="240" w:lineRule="auto"/>
              <w:ind w:firstLine="0" w:firstLineChars="0"/>
              <w:rPr>
                <w:rFonts w:eastAsia="等线"/>
                <w:color w:val="auto"/>
                <w:szCs w:val="22"/>
                <w:highlight w:val="none"/>
              </w:rPr>
            </w:pPr>
            <w:r>
              <w:rPr>
                <w:rFonts w:hint="eastAsia" w:eastAsia="等线"/>
                <w:color w:val="auto"/>
                <w:szCs w:val="22"/>
                <w:highlight w:val="none"/>
                <w:lang w:val="en-US" w:eastAsia="zh-CN"/>
              </w:rPr>
              <w:t>0.17</w:t>
            </w:r>
          </w:p>
        </w:tc>
        <w:tc>
          <w:tcPr>
            <w:tcW w:w="1425" w:type="dxa"/>
            <w:shd w:val="clear" w:color="auto" w:fill="auto"/>
            <w:vAlign w:val="center"/>
          </w:tcPr>
          <w:p>
            <w:pPr>
              <w:widowControl/>
              <w:spacing w:line="240" w:lineRule="atLeast"/>
              <w:ind w:firstLine="0" w:firstLineChars="0"/>
              <w:jc w:val="center"/>
              <w:rPr>
                <w:rFonts w:hint="default"/>
                <w:color w:val="auto"/>
                <w:highlight w:val="none"/>
                <w:lang w:val="en-US"/>
              </w:rPr>
            </w:pPr>
            <w:r>
              <w:rPr>
                <w:rFonts w:hint="eastAsia"/>
                <w:color w:val="auto"/>
                <w:sz w:val="22"/>
                <w:szCs w:val="22"/>
                <w:highlight w:val="none"/>
                <w:lang w:val="en-US" w:eastAsia="zh-CN"/>
              </w:rPr>
              <w:t>100</w:t>
            </w:r>
          </w:p>
        </w:tc>
        <w:tc>
          <w:tcPr>
            <w:tcW w:w="1107" w:type="dxa"/>
            <w:vAlign w:val="center"/>
          </w:tcPr>
          <w:p>
            <w:pPr>
              <w:pStyle w:val="272"/>
              <w:spacing w:line="240" w:lineRule="auto"/>
              <w:rPr>
                <w:color w:val="auto"/>
                <w:highlight w:val="none"/>
              </w:rPr>
            </w:pPr>
            <w:r>
              <w:rPr>
                <w:color w:val="auto"/>
                <w:highlight w:val="none"/>
              </w:rPr>
              <w:t>5年一遇</w:t>
            </w:r>
          </w:p>
        </w:tc>
        <w:tc>
          <w:tcPr>
            <w:tcW w:w="1514" w:type="dxa"/>
            <w:vAlign w:val="center"/>
          </w:tcPr>
          <w:p>
            <w:pPr>
              <w:pStyle w:val="272"/>
              <w:spacing w:line="240" w:lineRule="auto"/>
              <w:rPr>
                <w:rFonts w:hint="default" w:eastAsia="宋体"/>
                <w:color w:val="auto"/>
                <w:highlight w:val="none"/>
                <w:lang w:val="en-US" w:eastAsia="zh-CN"/>
              </w:rPr>
            </w:pPr>
            <w:r>
              <w:rPr>
                <w:rFonts w:hint="eastAsia"/>
                <w:color w:val="auto"/>
                <w:highlight w:val="none"/>
                <w:lang w:val="en-US" w:eastAsia="zh-CN"/>
              </w:rPr>
              <w:t>1.36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922" w:type="dxa"/>
            <w:shd w:val="clear" w:color="auto" w:fill="auto"/>
            <w:vAlign w:val="center"/>
          </w:tcPr>
          <w:p>
            <w:pPr>
              <w:pStyle w:val="272"/>
              <w:spacing w:line="240" w:lineRule="auto"/>
              <w:ind w:firstLine="0" w:firstLineChars="0"/>
              <w:rPr>
                <w:rFonts w:hint="eastAsia" w:eastAsia="宋体"/>
                <w:color w:val="auto"/>
                <w:highlight w:val="none"/>
                <w:lang w:val="en-US" w:eastAsia="zh-CN"/>
              </w:rPr>
            </w:pPr>
            <w:r>
              <w:rPr>
                <w:rFonts w:hint="eastAsia"/>
                <w:color w:val="auto"/>
                <w:highlight w:val="none"/>
                <w:lang w:val="en-US" w:eastAsia="zh-CN"/>
              </w:rPr>
              <w:t>3#</w:t>
            </w:r>
            <w:r>
              <w:rPr>
                <w:rFonts w:hint="eastAsia"/>
                <w:color w:val="auto"/>
                <w:highlight w:val="none"/>
                <w:lang w:eastAsia="zh-CN"/>
              </w:rPr>
              <w:t>泄洪闸</w:t>
            </w:r>
          </w:p>
        </w:tc>
        <w:tc>
          <w:tcPr>
            <w:tcW w:w="1057" w:type="dxa"/>
            <w:shd w:val="clear" w:color="auto" w:fill="auto"/>
            <w:vAlign w:val="center"/>
          </w:tcPr>
          <w:p>
            <w:pPr>
              <w:pStyle w:val="272"/>
              <w:spacing w:line="240" w:lineRule="auto"/>
              <w:ind w:firstLine="0" w:firstLineChars="0"/>
              <w:rPr>
                <w:rFonts w:hint="eastAsia"/>
                <w:color w:val="auto"/>
                <w:highlight w:val="none"/>
                <w:lang w:val="en-US" w:eastAsia="zh-CN"/>
              </w:rPr>
            </w:pPr>
            <w:r>
              <w:rPr>
                <w:rFonts w:hint="eastAsia"/>
                <w:color w:val="auto"/>
                <w:highlight w:val="none"/>
                <w:lang w:val="en-US" w:eastAsia="zh-CN"/>
              </w:rPr>
              <w:t>1+000</w:t>
            </w:r>
          </w:p>
        </w:tc>
        <w:tc>
          <w:tcPr>
            <w:tcW w:w="1752" w:type="dxa"/>
            <w:shd w:val="clear" w:color="auto" w:fill="auto"/>
            <w:vAlign w:val="center"/>
          </w:tcPr>
          <w:p>
            <w:pPr>
              <w:pStyle w:val="272"/>
              <w:spacing w:line="240" w:lineRule="auto"/>
              <w:ind w:firstLine="0" w:firstLineChars="0"/>
              <w:rPr>
                <w:rFonts w:hint="eastAsia" w:eastAsia="等线"/>
                <w:color w:val="auto"/>
                <w:szCs w:val="22"/>
                <w:highlight w:val="none"/>
                <w:lang w:val="en-US" w:eastAsia="zh-CN"/>
              </w:rPr>
            </w:pPr>
            <w:r>
              <w:rPr>
                <w:rFonts w:hint="eastAsia" w:eastAsia="等线"/>
                <w:color w:val="auto"/>
                <w:szCs w:val="22"/>
                <w:highlight w:val="none"/>
                <w:lang w:val="en-US" w:eastAsia="zh-CN"/>
              </w:rPr>
              <w:t>0.24</w:t>
            </w:r>
          </w:p>
        </w:tc>
        <w:tc>
          <w:tcPr>
            <w:tcW w:w="1425" w:type="dxa"/>
            <w:shd w:val="clear" w:color="auto" w:fill="auto"/>
            <w:vAlign w:val="center"/>
          </w:tcPr>
          <w:p>
            <w:pPr>
              <w:widowControl/>
              <w:spacing w:line="240" w:lineRule="atLeast"/>
              <w:ind w:firstLine="0" w:firstLineChars="0"/>
              <w:jc w:val="center"/>
              <w:rPr>
                <w:rFonts w:hint="default"/>
                <w:color w:val="auto"/>
                <w:highlight w:val="none"/>
                <w:lang w:val="en-US" w:eastAsia="zh-CN"/>
              </w:rPr>
            </w:pPr>
            <w:r>
              <w:rPr>
                <w:rFonts w:hint="eastAsia"/>
                <w:color w:val="auto"/>
                <w:sz w:val="21"/>
                <w:szCs w:val="20"/>
                <w:highlight w:val="none"/>
                <w:lang w:val="en-US" w:eastAsia="zh-CN"/>
              </w:rPr>
              <w:t>900</w:t>
            </w:r>
          </w:p>
        </w:tc>
        <w:tc>
          <w:tcPr>
            <w:tcW w:w="1107" w:type="dxa"/>
            <w:vAlign w:val="center"/>
          </w:tcPr>
          <w:p>
            <w:pPr>
              <w:pStyle w:val="272"/>
              <w:spacing w:line="240" w:lineRule="auto"/>
              <w:ind w:firstLine="0" w:firstLineChars="0"/>
              <w:rPr>
                <w:color w:val="auto"/>
                <w:highlight w:val="none"/>
              </w:rPr>
            </w:pPr>
            <w:r>
              <w:rPr>
                <w:color w:val="auto"/>
                <w:highlight w:val="none"/>
              </w:rPr>
              <w:t>5年一遇</w:t>
            </w:r>
          </w:p>
        </w:tc>
        <w:tc>
          <w:tcPr>
            <w:tcW w:w="1514" w:type="dxa"/>
            <w:vAlign w:val="center"/>
          </w:tcPr>
          <w:p>
            <w:pPr>
              <w:pStyle w:val="272"/>
              <w:spacing w:line="240" w:lineRule="auto"/>
              <w:ind w:firstLine="0" w:firstLineChars="0"/>
              <w:rPr>
                <w:rFonts w:hint="default"/>
                <w:color w:val="auto"/>
                <w:highlight w:val="none"/>
                <w:lang w:val="en-US" w:eastAsia="zh-CN"/>
              </w:rPr>
            </w:pPr>
            <w:r>
              <w:rPr>
                <w:rFonts w:hint="eastAsia"/>
                <w:color w:val="auto"/>
                <w:highlight w:val="none"/>
                <w:lang w:val="en-US" w:eastAsia="zh-CN"/>
              </w:rPr>
              <w:t>1.92</w:t>
            </w:r>
          </w:p>
        </w:tc>
      </w:tr>
    </w:tbl>
    <w:p>
      <w:pPr>
        <w:pStyle w:val="3"/>
        <w:rPr>
          <w:color w:val="auto"/>
          <w:highlight w:val="none"/>
        </w:rPr>
      </w:pPr>
      <w:bookmarkStart w:id="167" w:name="_Toc536295061"/>
      <w:bookmarkStart w:id="168" w:name="_Toc32448"/>
      <w:bookmarkStart w:id="169" w:name="_Toc513816897"/>
      <w:r>
        <w:rPr>
          <w:rFonts w:hint="eastAsia"/>
          <w:color w:val="auto"/>
          <w:highlight w:val="none"/>
        </w:rPr>
        <w:t>2</w:t>
      </w:r>
      <w:r>
        <w:rPr>
          <w:color w:val="auto"/>
          <w:highlight w:val="none"/>
        </w:rPr>
        <w:t>.</w:t>
      </w:r>
      <w:r>
        <w:rPr>
          <w:rFonts w:hint="eastAsia"/>
          <w:color w:val="auto"/>
          <w:highlight w:val="none"/>
          <w:lang w:val="en-US" w:eastAsia="zh-CN"/>
        </w:rPr>
        <w:t>6</w:t>
      </w:r>
      <w:r>
        <w:rPr>
          <w:color w:val="auto"/>
          <w:highlight w:val="none"/>
        </w:rPr>
        <w:t xml:space="preserve"> 泥沙</w:t>
      </w:r>
      <w:bookmarkEnd w:id="140"/>
      <w:bookmarkEnd w:id="141"/>
      <w:bookmarkEnd w:id="167"/>
      <w:bookmarkEnd w:id="168"/>
      <w:bookmarkEnd w:id="169"/>
    </w:p>
    <w:p>
      <w:pPr>
        <w:ind w:firstLine="480"/>
        <w:rPr>
          <w:color w:val="auto"/>
          <w:highlight w:val="none"/>
        </w:rPr>
      </w:pPr>
      <w:bookmarkStart w:id="170" w:name="_Toc367090356"/>
      <w:bookmarkStart w:id="171" w:name="_Toc345571800"/>
      <w:r>
        <w:rPr>
          <w:color w:val="auto"/>
          <w:highlight w:val="none"/>
        </w:rPr>
        <w:t>本工程位于</w:t>
      </w:r>
      <w:r>
        <w:rPr>
          <w:rFonts w:hint="eastAsia"/>
          <w:color w:val="auto"/>
          <w:highlight w:val="none"/>
        </w:rPr>
        <w:t>流溪河</w:t>
      </w:r>
      <w:r>
        <w:rPr>
          <w:color w:val="auto"/>
          <w:highlight w:val="none"/>
        </w:rPr>
        <w:t>流域。在</w:t>
      </w:r>
      <w:r>
        <w:rPr>
          <w:rFonts w:hint="eastAsia"/>
          <w:color w:val="auto"/>
          <w:highlight w:val="none"/>
        </w:rPr>
        <w:t>流溪河</w:t>
      </w:r>
      <w:r>
        <w:rPr>
          <w:color w:val="auto"/>
          <w:highlight w:val="none"/>
        </w:rPr>
        <w:t>流域内，泥沙资料十分缺乏，没有长期泥沙观测资料，流域内洪水的排除主要依靠河流本身的自排，本工程河涌冲淤变化主要受流域暴雨径流带来的泥沙影响。目前，本工程区域水土保持及水土流失控制较好，受泥沙的影响不大。</w:t>
      </w:r>
    </w:p>
    <w:p>
      <w:pPr>
        <w:pStyle w:val="3"/>
        <w:rPr>
          <w:color w:val="auto"/>
          <w:highlight w:val="none"/>
        </w:rPr>
      </w:pPr>
      <w:bookmarkStart w:id="172" w:name="_Toc536295062"/>
      <w:bookmarkStart w:id="173" w:name="_Toc513816898"/>
      <w:bookmarkStart w:id="174" w:name="_Toc29724"/>
      <w:r>
        <w:rPr>
          <w:rFonts w:hint="eastAsia"/>
          <w:color w:val="auto"/>
          <w:highlight w:val="none"/>
        </w:rPr>
        <w:t>2.</w:t>
      </w:r>
      <w:r>
        <w:rPr>
          <w:rFonts w:hint="eastAsia"/>
          <w:color w:val="auto"/>
          <w:highlight w:val="none"/>
          <w:lang w:val="en-US" w:eastAsia="zh-CN"/>
        </w:rPr>
        <w:t>7</w:t>
      </w:r>
      <w:r>
        <w:rPr>
          <w:rFonts w:hint="eastAsia"/>
          <w:color w:val="auto"/>
          <w:highlight w:val="none"/>
        </w:rPr>
        <w:t xml:space="preserve"> 潮汐</w:t>
      </w:r>
      <w:bookmarkEnd w:id="170"/>
      <w:bookmarkEnd w:id="171"/>
      <w:bookmarkEnd w:id="172"/>
      <w:bookmarkEnd w:id="173"/>
      <w:bookmarkEnd w:id="174"/>
    </w:p>
    <w:p>
      <w:pPr>
        <w:ind w:firstLine="480"/>
        <w:rPr>
          <w:color w:val="auto"/>
          <w:highlight w:val="none"/>
        </w:rPr>
      </w:pPr>
      <w:r>
        <w:rPr>
          <w:rFonts w:hint="eastAsia"/>
          <w:color w:val="auto"/>
          <w:highlight w:val="none"/>
        </w:rPr>
        <w:t>本工程位于珠江支流流溪河</w:t>
      </w:r>
      <w:r>
        <w:rPr>
          <w:rFonts w:hint="eastAsia"/>
          <w:color w:val="auto"/>
          <w:highlight w:val="none"/>
          <w:lang w:eastAsia="zh-CN"/>
        </w:rPr>
        <w:t>小海河</w:t>
      </w:r>
      <w:r>
        <w:rPr>
          <w:rFonts w:hint="eastAsia"/>
          <w:color w:val="auto"/>
          <w:highlight w:val="none"/>
        </w:rPr>
        <w:t>流域上游，不受潮汐影响。</w:t>
      </w:r>
    </w:p>
    <w:p>
      <w:pPr>
        <w:widowControl/>
        <w:ind w:firstLine="480"/>
        <w:jc w:val="left"/>
        <w:rPr>
          <w:color w:val="auto"/>
          <w:highlight w:val="none"/>
        </w:rPr>
      </w:pPr>
      <w:r>
        <w:rPr>
          <w:color w:val="auto"/>
          <w:highlight w:val="none"/>
        </w:rPr>
        <w:br w:type="page"/>
      </w:r>
    </w:p>
    <w:p>
      <w:pPr>
        <w:pStyle w:val="2"/>
        <w:keepNext w:val="0"/>
        <w:keepLines w:val="0"/>
        <w:pageBreakBefore/>
        <w:spacing w:beforeLines="50" w:afterLines="50" w:line="360" w:lineRule="auto"/>
        <w:ind w:firstLine="640"/>
        <w:rPr>
          <w:b/>
          <w:color w:val="auto"/>
          <w:szCs w:val="32"/>
          <w:highlight w:val="none"/>
        </w:rPr>
      </w:pPr>
      <w:bookmarkStart w:id="175" w:name="_Toc536295063"/>
      <w:bookmarkStart w:id="176" w:name="_Toc144"/>
      <w:r>
        <w:rPr>
          <w:color w:val="auto"/>
          <w:szCs w:val="32"/>
          <w:highlight w:val="none"/>
        </w:rPr>
        <w:t xml:space="preserve">3 </w:t>
      </w:r>
      <w:r>
        <w:rPr>
          <w:rFonts w:hint="eastAsia"/>
          <w:color w:val="auto"/>
          <w:szCs w:val="32"/>
          <w:highlight w:val="none"/>
          <w:lang w:val="en-US" w:eastAsia="zh-CN"/>
        </w:rPr>
        <w:t xml:space="preserve"> </w:t>
      </w:r>
      <w:r>
        <w:rPr>
          <w:color w:val="auto"/>
          <w:szCs w:val="32"/>
          <w:highlight w:val="none"/>
        </w:rPr>
        <w:t>工程地质</w:t>
      </w:r>
      <w:bookmarkEnd w:id="175"/>
      <w:bookmarkEnd w:id="176"/>
    </w:p>
    <w:p>
      <w:pPr>
        <w:pStyle w:val="3"/>
        <w:rPr>
          <w:color w:val="auto"/>
          <w:highlight w:val="none"/>
        </w:rPr>
      </w:pPr>
      <w:bookmarkStart w:id="177" w:name="_Toc415834273"/>
      <w:bookmarkStart w:id="178" w:name="_Toc536295064"/>
      <w:bookmarkStart w:id="179" w:name="_Toc1035"/>
      <w:r>
        <w:rPr>
          <w:rFonts w:hint="eastAsia"/>
          <w:color w:val="auto"/>
          <w:highlight w:val="none"/>
        </w:rPr>
        <w:t>3</w:t>
      </w:r>
      <w:r>
        <w:rPr>
          <w:color w:val="auto"/>
          <w:highlight w:val="none"/>
        </w:rPr>
        <w:t xml:space="preserve">.1 </w:t>
      </w:r>
      <w:r>
        <w:rPr>
          <w:rFonts w:hint="eastAsia"/>
          <w:color w:val="auto"/>
          <w:highlight w:val="none"/>
        </w:rPr>
        <w:t>概述</w:t>
      </w:r>
      <w:bookmarkEnd w:id="177"/>
      <w:bookmarkEnd w:id="178"/>
      <w:bookmarkEnd w:id="179"/>
    </w:p>
    <w:p>
      <w:pPr>
        <w:pStyle w:val="335"/>
        <w:spacing w:before="120" w:after="120"/>
        <w:rPr>
          <w:color w:val="auto"/>
          <w:highlight w:val="none"/>
        </w:rPr>
      </w:pPr>
      <w:r>
        <w:rPr>
          <w:rFonts w:hint="eastAsia"/>
          <w:color w:val="auto"/>
          <w:highlight w:val="none"/>
        </w:rPr>
        <w:t>3.1.1 工程概况</w:t>
      </w:r>
    </w:p>
    <w:p>
      <w:pPr>
        <w:ind w:firstLine="480"/>
        <w:rPr>
          <w:rFonts w:hint="eastAsia"/>
          <w:color w:val="auto"/>
          <w:highlight w:val="none"/>
        </w:rPr>
      </w:pPr>
      <w:r>
        <w:rPr>
          <w:rFonts w:hint="eastAsia"/>
          <w:b w:val="0"/>
          <w:bCs/>
          <w:color w:val="auto"/>
          <w:highlight w:val="none"/>
          <w:lang w:val="en-US" w:eastAsia="zh-CN"/>
        </w:rPr>
        <w:t>本次</w:t>
      </w:r>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渠道进行三面光改造，改造起点位于温泉镇桃莲村委后（桩号0+000），距离干渠渠首约5.5km，终点位于从莞深高速公路穿路箱涵进水口（桩号1+207），改造总长1207m</w:t>
      </w:r>
      <w:r>
        <w:rPr>
          <w:rFonts w:hint="eastAsia"/>
          <w:color w:val="auto"/>
          <w:highlight w:val="none"/>
          <w:lang w:val="en-US" w:eastAsia="zh-CN"/>
        </w:rPr>
        <w:t>。</w:t>
      </w:r>
    </w:p>
    <w:p>
      <w:pPr>
        <w:pStyle w:val="335"/>
        <w:spacing w:before="120" w:after="120"/>
        <w:rPr>
          <w:rFonts w:hint="eastAsia"/>
          <w:color w:val="auto"/>
          <w:highlight w:val="none"/>
        </w:rPr>
      </w:pPr>
      <w:r>
        <w:rPr>
          <w:rFonts w:hint="eastAsia"/>
          <w:color w:val="auto"/>
          <w:highlight w:val="none"/>
        </w:rPr>
        <w:t>3.1.</w:t>
      </w:r>
      <w:r>
        <w:rPr>
          <w:rFonts w:hint="eastAsia"/>
          <w:color w:val="auto"/>
          <w:highlight w:val="none"/>
          <w:lang w:val="en-US" w:eastAsia="zh-CN"/>
        </w:rPr>
        <w:t>2</w:t>
      </w:r>
      <w:r>
        <w:rPr>
          <w:rFonts w:hint="eastAsia"/>
          <w:color w:val="auto"/>
          <w:highlight w:val="none"/>
        </w:rPr>
        <w:t xml:space="preserve"> 勘察任务及要求</w:t>
      </w:r>
    </w:p>
    <w:p>
      <w:pPr>
        <w:ind w:firstLine="480"/>
        <w:rPr>
          <w:rFonts w:hint="eastAsia"/>
          <w:color w:val="auto"/>
          <w:highlight w:val="none"/>
        </w:rPr>
      </w:pPr>
      <w:r>
        <w:rPr>
          <w:rFonts w:hint="eastAsia"/>
          <w:color w:val="auto"/>
          <w:highlight w:val="none"/>
        </w:rPr>
        <w:t>本次勘查阶段为初步阶段，按照任务书要求，本次地质勘探工作的主要任务：</w:t>
      </w:r>
    </w:p>
    <w:p>
      <w:pPr>
        <w:ind w:firstLine="480"/>
        <w:rPr>
          <w:rFonts w:hint="eastAsia"/>
          <w:color w:val="auto"/>
          <w:highlight w:val="none"/>
        </w:rPr>
      </w:pPr>
      <w:r>
        <w:rPr>
          <w:rFonts w:hint="eastAsia"/>
          <w:color w:val="auto"/>
          <w:highlight w:val="none"/>
        </w:rPr>
        <w:t>1) 评价区域构造稳定性，确定地震动参数。</w:t>
      </w:r>
    </w:p>
    <w:p>
      <w:pPr>
        <w:ind w:firstLine="480"/>
        <w:rPr>
          <w:rFonts w:hint="eastAsia"/>
          <w:color w:val="auto"/>
          <w:highlight w:val="none"/>
        </w:rPr>
      </w:pPr>
      <w:r>
        <w:rPr>
          <w:rFonts w:hint="eastAsia"/>
          <w:color w:val="auto"/>
          <w:highlight w:val="none"/>
        </w:rPr>
        <w:t>2) 查明堤线沿线的水文地质、工程地质条件，并进行分段评价。</w:t>
      </w:r>
    </w:p>
    <w:p>
      <w:pPr>
        <w:ind w:firstLine="480"/>
        <w:rPr>
          <w:rFonts w:hint="eastAsia"/>
          <w:color w:val="auto"/>
          <w:highlight w:val="none"/>
        </w:rPr>
      </w:pPr>
      <w:r>
        <w:rPr>
          <w:rFonts w:hint="eastAsia"/>
          <w:color w:val="auto"/>
          <w:highlight w:val="none"/>
        </w:rPr>
        <w:t>3) 查明堤线区的地形地貌单元与微地貌类型、特征及分界线；查明各土层的分布规律、成因、物质组成、厚度及其性状，特别应注意淤泥、淤泥质土、砂性土、杂填土等的分布、厚度等。</w:t>
      </w:r>
    </w:p>
    <w:p>
      <w:pPr>
        <w:ind w:firstLine="480"/>
        <w:rPr>
          <w:rFonts w:hint="eastAsia"/>
          <w:color w:val="auto"/>
          <w:highlight w:val="none"/>
        </w:rPr>
      </w:pPr>
      <w:r>
        <w:rPr>
          <w:rFonts w:hint="eastAsia"/>
          <w:color w:val="auto"/>
          <w:highlight w:val="none"/>
        </w:rPr>
        <w:t>4) 进行水文地质条件评价，对地表水、地下水等进行水质分析，评价地表水、地下水对砼的腐蚀性。</w:t>
      </w:r>
    </w:p>
    <w:p>
      <w:pPr>
        <w:ind w:firstLine="480"/>
        <w:rPr>
          <w:rFonts w:hint="eastAsia"/>
          <w:color w:val="auto"/>
          <w:highlight w:val="none"/>
        </w:rPr>
      </w:pPr>
      <w:r>
        <w:rPr>
          <w:rFonts w:hint="eastAsia"/>
          <w:color w:val="auto"/>
          <w:highlight w:val="none"/>
        </w:rPr>
        <w:t>5) 对堤基的渗漏、渗透稳定、抗滑稳定、沉降变形、地震液化、地基承载力等问题进行评价；对存在的主要工程地质问题进行评价，对与地质有关的险情隐患提出处理措施的建议。</w:t>
      </w:r>
    </w:p>
    <w:p>
      <w:pPr>
        <w:ind w:firstLine="480"/>
        <w:rPr>
          <w:rFonts w:hint="eastAsia"/>
          <w:color w:val="auto"/>
          <w:highlight w:val="none"/>
        </w:rPr>
      </w:pPr>
      <w:r>
        <w:rPr>
          <w:rFonts w:hint="eastAsia"/>
          <w:color w:val="auto"/>
          <w:highlight w:val="none"/>
        </w:rPr>
        <w:t>6) 对堤线工程地质条件进行评价，为选定各建筑物的轴线及地基处理方案提供地质资料和建议；</w:t>
      </w:r>
    </w:p>
    <w:p>
      <w:pPr>
        <w:ind w:firstLine="480"/>
        <w:rPr>
          <w:rFonts w:hint="eastAsia"/>
          <w:color w:val="auto"/>
          <w:highlight w:val="none"/>
        </w:rPr>
      </w:pPr>
      <w:r>
        <w:rPr>
          <w:rFonts w:hint="eastAsia"/>
          <w:color w:val="auto"/>
          <w:highlight w:val="none"/>
        </w:rPr>
        <w:t>7)查明岸坡及桩（墩）基部位的地层岩性。主要查明架空层不良地质体和软弱体的分布特征及工程地质性质。</w:t>
      </w:r>
    </w:p>
    <w:p>
      <w:pPr>
        <w:ind w:firstLine="480"/>
        <w:rPr>
          <w:rFonts w:hint="eastAsia"/>
          <w:color w:val="auto"/>
          <w:highlight w:val="none"/>
        </w:rPr>
      </w:pPr>
      <w:r>
        <w:rPr>
          <w:rFonts w:hint="eastAsia"/>
          <w:color w:val="auto"/>
          <w:highlight w:val="none"/>
        </w:rPr>
        <w:t>8)查明岸坡及桩（墩）基部位的地质构造。主要查明断裂带结构面、软弱结构面等的分布特征及其工程地质性质。</w:t>
      </w:r>
    </w:p>
    <w:p>
      <w:pPr>
        <w:ind w:firstLine="480"/>
        <w:rPr>
          <w:rFonts w:hint="eastAsia"/>
          <w:color w:val="auto"/>
          <w:highlight w:val="none"/>
        </w:rPr>
      </w:pPr>
      <w:r>
        <w:rPr>
          <w:rFonts w:hint="eastAsia"/>
          <w:color w:val="auto"/>
          <w:highlight w:val="none"/>
        </w:rPr>
        <w:t>9)查明桩（墩）基持力层的地层岩性、埋藏深度、分布特征及其物理力学性质和工程地质性质，评价桩（墩）基的稳定性。</w:t>
      </w:r>
    </w:p>
    <w:p>
      <w:pPr>
        <w:ind w:firstLine="480"/>
        <w:rPr>
          <w:rFonts w:hint="eastAsia"/>
          <w:color w:val="auto"/>
          <w:highlight w:val="none"/>
        </w:rPr>
      </w:pPr>
      <w:r>
        <w:rPr>
          <w:rFonts w:hint="eastAsia"/>
          <w:color w:val="auto"/>
          <w:highlight w:val="none"/>
        </w:rPr>
        <w:t>10)确定桩（墩）基持力层岩土体的主要物理力学参数及相关工程地质参数</w:t>
      </w:r>
    </w:p>
    <w:p>
      <w:pPr>
        <w:ind w:firstLine="480"/>
        <w:rPr>
          <w:rFonts w:hint="eastAsia"/>
          <w:color w:val="auto"/>
          <w:highlight w:val="none"/>
        </w:rPr>
      </w:pPr>
      <w:r>
        <w:rPr>
          <w:rFonts w:hint="eastAsia"/>
          <w:color w:val="auto"/>
          <w:highlight w:val="none"/>
        </w:rPr>
        <w:t>11)查明桩（墩）基施工围堰工程地质条件，评价围堰及开挖边坡稳定性</w:t>
      </w:r>
    </w:p>
    <w:p>
      <w:pPr>
        <w:ind w:firstLine="480"/>
        <w:rPr>
          <w:rFonts w:hint="eastAsia"/>
          <w:color w:val="auto"/>
          <w:highlight w:val="none"/>
        </w:rPr>
      </w:pPr>
      <w:r>
        <w:rPr>
          <w:rFonts w:hint="eastAsia"/>
          <w:color w:val="auto"/>
          <w:highlight w:val="none"/>
        </w:rPr>
        <w:t>12) 进行工程所需的天然建筑材料的来源.、储量、质量和开采运输条件详查。</w:t>
      </w:r>
    </w:p>
    <w:p>
      <w:pPr>
        <w:pStyle w:val="335"/>
        <w:spacing w:before="120" w:after="120"/>
        <w:rPr>
          <w:color w:val="auto"/>
          <w:highlight w:val="none"/>
        </w:rPr>
      </w:pPr>
      <w:bookmarkStart w:id="180" w:name="_Toc211736792"/>
      <w:bookmarkStart w:id="181" w:name="_Toc415834274"/>
      <w:bookmarkStart w:id="182" w:name="_Toc536295065"/>
      <w:r>
        <w:rPr>
          <w:rFonts w:hint="eastAsia"/>
          <w:color w:val="auto"/>
          <w:highlight w:val="none"/>
        </w:rPr>
        <w:t>3.1.</w:t>
      </w:r>
      <w:r>
        <w:rPr>
          <w:rFonts w:hint="eastAsia"/>
          <w:color w:val="auto"/>
          <w:highlight w:val="none"/>
          <w:lang w:val="en-US" w:eastAsia="zh-CN"/>
        </w:rPr>
        <w:t>3</w:t>
      </w:r>
      <w:r>
        <w:rPr>
          <w:rFonts w:hint="eastAsia"/>
          <w:color w:val="auto"/>
          <w:highlight w:val="none"/>
        </w:rPr>
        <w:t xml:space="preserve"> 勘察工作及主要成果</w:t>
      </w:r>
    </w:p>
    <w:p>
      <w:pPr>
        <w:ind w:firstLine="480"/>
        <w:rPr>
          <w:rFonts w:hint="eastAsia"/>
          <w:color w:val="auto"/>
          <w:highlight w:val="none"/>
        </w:rPr>
      </w:pPr>
      <w:r>
        <w:rPr>
          <w:rFonts w:hint="eastAsia"/>
          <w:color w:val="auto"/>
          <w:highlight w:val="none"/>
          <w:lang w:val="en-US" w:eastAsia="zh-CN"/>
        </w:rPr>
        <w:t>2022年7月，本工程建设单位委托深圳市万成勘测设计有限公司</w:t>
      </w:r>
      <w:r>
        <w:rPr>
          <w:rFonts w:hint="eastAsia"/>
          <w:color w:val="auto"/>
          <w:highlight w:val="none"/>
        </w:rPr>
        <w:t>承担了从化区温泉镇南大水库灌区（</w:t>
      </w:r>
      <w:r>
        <w:rPr>
          <w:rFonts w:hint="eastAsia"/>
          <w:color w:val="auto"/>
          <w:highlight w:val="none"/>
          <w:lang w:val="en-US" w:eastAsia="zh-CN"/>
        </w:rPr>
        <w:t>中田村</w:t>
      </w:r>
      <w:r>
        <w:rPr>
          <w:rFonts w:hint="eastAsia"/>
          <w:color w:val="auto"/>
          <w:highlight w:val="none"/>
          <w:lang w:eastAsia="zh-CN"/>
        </w:rPr>
        <w:t>段</w:t>
      </w:r>
      <w:r>
        <w:rPr>
          <w:rFonts w:hint="eastAsia"/>
          <w:color w:val="auto"/>
          <w:highlight w:val="none"/>
        </w:rPr>
        <w:t>）改造工程地质勘察任务</w:t>
      </w:r>
      <w:r>
        <w:rPr>
          <w:rFonts w:hint="eastAsia"/>
          <w:color w:val="auto"/>
          <w:highlight w:val="none"/>
          <w:lang w:eastAsia="zh-CN"/>
        </w:rPr>
        <w:t>（</w:t>
      </w:r>
      <w:r>
        <w:rPr>
          <w:rFonts w:hint="eastAsia"/>
          <w:color w:val="auto"/>
          <w:highlight w:val="none"/>
          <w:lang w:val="en-US" w:eastAsia="zh-CN"/>
        </w:rPr>
        <w:t>含本工程勘察内容</w:t>
      </w:r>
      <w:r>
        <w:rPr>
          <w:rFonts w:hint="eastAsia"/>
          <w:color w:val="auto"/>
          <w:highlight w:val="none"/>
          <w:lang w:eastAsia="zh-CN"/>
        </w:rPr>
        <w:t>）</w:t>
      </w:r>
      <w:r>
        <w:rPr>
          <w:rFonts w:hint="eastAsia"/>
          <w:color w:val="auto"/>
          <w:highlight w:val="none"/>
        </w:rPr>
        <w:t>，对渠道沿线进行了地质测绘，查明不良工程地质岩土层分布，查明傍山渠道、深挖方渠段、高挖方渠段地基和边坡稳定条件等。</w:t>
      </w:r>
    </w:p>
    <w:p>
      <w:pPr>
        <w:ind w:firstLine="480"/>
        <w:rPr>
          <w:rFonts w:hint="eastAsia"/>
          <w:color w:val="auto"/>
          <w:highlight w:val="none"/>
        </w:rPr>
      </w:pPr>
      <w:r>
        <w:rPr>
          <w:rFonts w:hint="eastAsia"/>
          <w:color w:val="auto"/>
          <w:highlight w:val="none"/>
        </w:rPr>
        <w:t>本工程共进行地质测绘0.</w:t>
      </w:r>
      <w:r>
        <w:rPr>
          <w:rFonts w:hint="eastAsia"/>
          <w:color w:val="auto"/>
          <w:highlight w:val="none"/>
          <w:lang w:val="en-US" w:eastAsia="zh-CN"/>
        </w:rPr>
        <w:t>614</w:t>
      </w:r>
      <w:r>
        <w:rPr>
          <w:rFonts w:hint="eastAsia"/>
          <w:color w:val="auto"/>
          <w:highlight w:val="none"/>
        </w:rPr>
        <w:t>Km</w:t>
      </w:r>
      <w:r>
        <w:rPr>
          <w:rFonts w:hint="eastAsia"/>
          <w:color w:val="auto"/>
          <w:highlight w:val="none"/>
          <w:lang w:val="en-US" w:eastAsia="zh-CN"/>
        </w:rPr>
        <w:t>²</w:t>
      </w:r>
      <w:r>
        <w:rPr>
          <w:rFonts w:hint="eastAsia"/>
          <w:color w:val="auto"/>
          <w:highlight w:val="none"/>
        </w:rPr>
        <w:t>，共布设钻孔1</w:t>
      </w:r>
      <w:r>
        <w:rPr>
          <w:rFonts w:hint="eastAsia"/>
          <w:color w:val="auto"/>
          <w:highlight w:val="none"/>
          <w:lang w:val="en-US" w:eastAsia="zh-CN"/>
        </w:rPr>
        <w:t>5</w:t>
      </w:r>
      <w:r>
        <w:rPr>
          <w:rFonts w:hint="eastAsia"/>
          <w:color w:val="auto"/>
          <w:highlight w:val="none"/>
        </w:rPr>
        <w:t>个，勘察孔位见《勘探点平面位置示意图》。</w:t>
      </w:r>
    </w:p>
    <w:p>
      <w:pPr>
        <w:ind w:firstLine="480"/>
        <w:rPr>
          <w:rFonts w:hint="eastAsia"/>
          <w:color w:val="auto"/>
          <w:highlight w:val="none"/>
        </w:rPr>
      </w:pPr>
      <w:r>
        <w:rPr>
          <w:rFonts w:hint="eastAsia"/>
          <w:color w:val="auto"/>
          <w:highlight w:val="none"/>
          <w:lang w:eastAsia="zh-CN"/>
        </w:rPr>
        <w:t>勘察单位</w:t>
      </w:r>
      <w:r>
        <w:rPr>
          <w:rFonts w:hint="eastAsia"/>
          <w:color w:val="auto"/>
          <w:highlight w:val="none"/>
        </w:rPr>
        <w:t>于2022年0</w:t>
      </w:r>
      <w:r>
        <w:rPr>
          <w:rFonts w:hint="eastAsia"/>
          <w:color w:val="auto"/>
          <w:highlight w:val="none"/>
          <w:lang w:val="en-US" w:eastAsia="zh-CN"/>
        </w:rPr>
        <w:t>7</w:t>
      </w:r>
      <w:r>
        <w:rPr>
          <w:rFonts w:hint="eastAsia"/>
          <w:color w:val="auto"/>
          <w:highlight w:val="none"/>
        </w:rPr>
        <w:t>月</w:t>
      </w:r>
      <w:r>
        <w:rPr>
          <w:rFonts w:hint="eastAsia"/>
          <w:color w:val="auto"/>
          <w:highlight w:val="none"/>
          <w:lang w:val="en-US" w:eastAsia="zh-CN"/>
        </w:rPr>
        <w:t>12</w:t>
      </w:r>
      <w:r>
        <w:rPr>
          <w:rFonts w:hint="eastAsia"/>
          <w:color w:val="auto"/>
          <w:highlight w:val="none"/>
        </w:rPr>
        <w:t>日组织钻机进场施工，07月1</w:t>
      </w:r>
      <w:r>
        <w:rPr>
          <w:rFonts w:hint="eastAsia"/>
          <w:color w:val="auto"/>
          <w:highlight w:val="none"/>
          <w:lang w:val="en-US" w:eastAsia="zh-CN"/>
        </w:rPr>
        <w:t>7</w:t>
      </w:r>
      <w:r>
        <w:rPr>
          <w:rFonts w:hint="eastAsia"/>
          <w:color w:val="auto"/>
          <w:highlight w:val="none"/>
        </w:rPr>
        <w:t>日完成外业。钻探施工机械采用XY-1工程钻机2台套，勘察方法采用地质测绘、现场地质钻探、原位标准贯入试验、现场注水试验及室内土工测试等手段。完成工作量详见下表。</w:t>
      </w:r>
    </w:p>
    <w:p>
      <w:pPr>
        <w:ind w:left="0" w:leftChars="0" w:firstLine="0" w:firstLineChars="0"/>
        <w:jc w:val="center"/>
        <w:rPr>
          <w:rFonts w:hint="eastAsia"/>
          <w:color w:val="auto"/>
          <w:highlight w:val="none"/>
        </w:rPr>
      </w:pPr>
      <w:r>
        <w:rPr>
          <w:rFonts w:hint="eastAsia"/>
          <w:color w:val="auto"/>
          <w:highlight w:val="none"/>
          <w:lang w:eastAsia="zh-CN"/>
        </w:rPr>
        <w:t>表</w:t>
      </w:r>
      <w:r>
        <w:rPr>
          <w:rFonts w:hint="eastAsia"/>
          <w:color w:val="auto"/>
          <w:highlight w:val="none"/>
          <w:lang w:val="en-US" w:eastAsia="zh-CN"/>
        </w:rPr>
        <w:t xml:space="preserve">3-1 </w:t>
      </w:r>
      <w:r>
        <w:rPr>
          <w:rFonts w:hint="eastAsia"/>
          <w:color w:val="auto"/>
          <w:highlight w:val="none"/>
        </w:rPr>
        <w:t xml:space="preserve">工作量统计表    </w:t>
      </w:r>
    </w:p>
    <w:tbl>
      <w:tblPr>
        <w:tblStyle w:val="4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7"/>
        <w:gridCol w:w="1072"/>
        <w:gridCol w:w="1072"/>
        <w:gridCol w:w="1582"/>
        <w:gridCol w:w="1072"/>
        <w:gridCol w:w="1072"/>
        <w:gridCol w:w="9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trPr>
        <w:tc>
          <w:tcPr>
            <w:tcW w:w="1667" w:type="dxa"/>
            <w:vAlign w:val="center"/>
          </w:tcPr>
          <w:p>
            <w:pPr>
              <w:pStyle w:val="272"/>
              <w:spacing w:line="240" w:lineRule="auto"/>
              <w:rPr>
                <w:rFonts w:hint="eastAsia"/>
                <w:color w:val="auto"/>
                <w:highlight w:val="none"/>
              </w:rPr>
            </w:pPr>
            <w:r>
              <w:rPr>
                <w:rFonts w:hint="eastAsia"/>
                <w:color w:val="auto"/>
                <w:highlight w:val="none"/>
              </w:rPr>
              <w:t>地质测绘</w:t>
            </w:r>
          </w:p>
        </w:tc>
        <w:tc>
          <w:tcPr>
            <w:tcW w:w="1072" w:type="dxa"/>
            <w:vAlign w:val="center"/>
          </w:tcPr>
          <w:p>
            <w:pPr>
              <w:pStyle w:val="272"/>
              <w:spacing w:line="240" w:lineRule="auto"/>
              <w:rPr>
                <w:rFonts w:hint="eastAsia"/>
                <w:color w:val="auto"/>
                <w:highlight w:val="none"/>
              </w:rPr>
            </w:pPr>
            <w:r>
              <w:rPr>
                <w:rFonts w:hint="eastAsia"/>
                <w:color w:val="auto"/>
                <w:highlight w:val="none"/>
              </w:rPr>
              <w:t>孔数</w:t>
            </w:r>
          </w:p>
        </w:tc>
        <w:tc>
          <w:tcPr>
            <w:tcW w:w="1072" w:type="dxa"/>
            <w:vAlign w:val="center"/>
          </w:tcPr>
          <w:p>
            <w:pPr>
              <w:pStyle w:val="272"/>
              <w:spacing w:line="240" w:lineRule="auto"/>
              <w:rPr>
                <w:rFonts w:hint="eastAsia"/>
                <w:color w:val="auto"/>
                <w:highlight w:val="none"/>
              </w:rPr>
            </w:pPr>
            <w:r>
              <w:rPr>
                <w:rFonts w:hint="eastAsia"/>
                <w:color w:val="auto"/>
                <w:highlight w:val="none"/>
              </w:rPr>
              <w:t>封孔</w:t>
            </w:r>
          </w:p>
        </w:tc>
        <w:tc>
          <w:tcPr>
            <w:tcW w:w="1582" w:type="dxa"/>
            <w:vAlign w:val="center"/>
          </w:tcPr>
          <w:p>
            <w:pPr>
              <w:pStyle w:val="272"/>
              <w:spacing w:line="240" w:lineRule="auto"/>
              <w:rPr>
                <w:rFonts w:hint="eastAsia"/>
                <w:color w:val="auto"/>
                <w:highlight w:val="none"/>
              </w:rPr>
            </w:pPr>
            <w:r>
              <w:rPr>
                <w:rFonts w:hint="eastAsia"/>
                <w:color w:val="auto"/>
                <w:highlight w:val="none"/>
              </w:rPr>
              <w:t>进尺</w:t>
            </w:r>
          </w:p>
        </w:tc>
        <w:tc>
          <w:tcPr>
            <w:tcW w:w="1072" w:type="dxa"/>
            <w:vAlign w:val="center"/>
          </w:tcPr>
          <w:p>
            <w:pPr>
              <w:pStyle w:val="272"/>
              <w:spacing w:line="240" w:lineRule="auto"/>
              <w:rPr>
                <w:rFonts w:hint="eastAsia"/>
                <w:color w:val="auto"/>
                <w:highlight w:val="none"/>
              </w:rPr>
            </w:pPr>
            <w:r>
              <w:rPr>
                <w:rFonts w:hint="eastAsia"/>
                <w:color w:val="auto"/>
                <w:highlight w:val="none"/>
              </w:rPr>
              <w:t>标贯</w:t>
            </w:r>
          </w:p>
        </w:tc>
        <w:tc>
          <w:tcPr>
            <w:tcW w:w="1072" w:type="dxa"/>
            <w:vAlign w:val="center"/>
          </w:tcPr>
          <w:p>
            <w:pPr>
              <w:pStyle w:val="272"/>
              <w:spacing w:line="240" w:lineRule="auto"/>
              <w:rPr>
                <w:rFonts w:hint="eastAsia"/>
                <w:color w:val="auto"/>
                <w:highlight w:val="none"/>
              </w:rPr>
            </w:pPr>
            <w:r>
              <w:rPr>
                <w:rFonts w:hint="eastAsia"/>
                <w:color w:val="auto"/>
                <w:highlight w:val="none"/>
              </w:rPr>
              <w:t>土样</w:t>
            </w:r>
          </w:p>
        </w:tc>
        <w:tc>
          <w:tcPr>
            <w:tcW w:w="985" w:type="dxa"/>
            <w:vAlign w:val="center"/>
          </w:tcPr>
          <w:p>
            <w:pPr>
              <w:pStyle w:val="272"/>
              <w:spacing w:line="240" w:lineRule="auto"/>
              <w:rPr>
                <w:rFonts w:hint="eastAsia"/>
                <w:color w:val="auto"/>
                <w:highlight w:val="none"/>
              </w:rPr>
            </w:pPr>
            <w:r>
              <w:rPr>
                <w:rFonts w:hint="eastAsia"/>
                <w:color w:val="auto"/>
                <w:highlight w:val="none"/>
              </w:rPr>
              <w:t>水样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2" w:hRule="atLeast"/>
        </w:trPr>
        <w:tc>
          <w:tcPr>
            <w:tcW w:w="1667" w:type="dxa"/>
            <w:vAlign w:val="center"/>
          </w:tcPr>
          <w:p>
            <w:pPr>
              <w:pStyle w:val="272"/>
              <w:spacing w:line="240" w:lineRule="auto"/>
              <w:rPr>
                <w:rFonts w:hint="eastAsia"/>
                <w:color w:val="auto"/>
                <w:highlight w:val="none"/>
              </w:rPr>
            </w:pPr>
            <w:r>
              <w:rPr>
                <w:rFonts w:hint="eastAsia"/>
                <w:color w:val="auto"/>
                <w:highlight w:val="none"/>
              </w:rPr>
              <w:t>0.</w:t>
            </w:r>
            <w:r>
              <w:rPr>
                <w:rFonts w:hint="eastAsia"/>
                <w:color w:val="auto"/>
                <w:highlight w:val="none"/>
                <w:lang w:val="en-US" w:eastAsia="zh-CN"/>
              </w:rPr>
              <w:t>614</w:t>
            </w:r>
            <w:r>
              <w:rPr>
                <w:color w:val="auto"/>
                <w:highlight w:val="none"/>
              </w:rPr>
              <w:t>K</w:t>
            </w:r>
            <w:r>
              <w:rPr>
                <w:rFonts w:hint="eastAsia"/>
                <w:color w:val="auto"/>
                <w:highlight w:val="none"/>
                <w:lang w:eastAsia="zh-CN"/>
              </w:rPr>
              <w:t>m²</w:t>
            </w:r>
          </w:p>
        </w:tc>
        <w:tc>
          <w:tcPr>
            <w:tcW w:w="1072" w:type="dxa"/>
            <w:vAlign w:val="center"/>
          </w:tcPr>
          <w:p>
            <w:pPr>
              <w:pStyle w:val="272"/>
              <w:spacing w:line="240" w:lineRule="auto"/>
              <w:rPr>
                <w:rFonts w:hint="eastAsia"/>
                <w:color w:val="auto"/>
                <w:highlight w:val="none"/>
              </w:rPr>
            </w:pPr>
            <w:r>
              <w:rPr>
                <w:rFonts w:hint="eastAsia"/>
                <w:color w:val="auto"/>
                <w:highlight w:val="none"/>
                <w:lang w:val="en-US" w:eastAsia="zh-CN"/>
              </w:rPr>
              <w:t>15</w:t>
            </w:r>
            <w:r>
              <w:rPr>
                <w:rFonts w:hint="eastAsia"/>
                <w:color w:val="auto"/>
                <w:highlight w:val="none"/>
              </w:rPr>
              <w:t>个</w:t>
            </w:r>
          </w:p>
        </w:tc>
        <w:tc>
          <w:tcPr>
            <w:tcW w:w="1072" w:type="dxa"/>
            <w:vAlign w:val="center"/>
          </w:tcPr>
          <w:p>
            <w:pPr>
              <w:pStyle w:val="272"/>
              <w:spacing w:line="240" w:lineRule="auto"/>
              <w:rPr>
                <w:rFonts w:hint="eastAsia"/>
                <w:color w:val="auto"/>
                <w:highlight w:val="none"/>
              </w:rPr>
            </w:pPr>
            <w:r>
              <w:rPr>
                <w:rFonts w:hint="eastAsia"/>
                <w:color w:val="auto"/>
                <w:highlight w:val="none"/>
                <w:lang w:val="en-US" w:eastAsia="zh-CN"/>
              </w:rPr>
              <w:t>15</w:t>
            </w:r>
            <w:r>
              <w:rPr>
                <w:rFonts w:hint="eastAsia"/>
                <w:color w:val="auto"/>
                <w:highlight w:val="none"/>
              </w:rPr>
              <w:t>个</w:t>
            </w:r>
          </w:p>
        </w:tc>
        <w:tc>
          <w:tcPr>
            <w:tcW w:w="1582" w:type="dxa"/>
            <w:vAlign w:val="center"/>
          </w:tcPr>
          <w:p>
            <w:pPr>
              <w:pStyle w:val="272"/>
              <w:spacing w:line="240" w:lineRule="auto"/>
              <w:rPr>
                <w:rFonts w:hint="eastAsia"/>
                <w:color w:val="auto"/>
                <w:highlight w:val="none"/>
              </w:rPr>
            </w:pPr>
            <w:r>
              <w:rPr>
                <w:rFonts w:hint="eastAsia"/>
                <w:color w:val="auto"/>
                <w:highlight w:val="none"/>
                <w:lang w:val="en-US" w:eastAsia="zh-CN"/>
              </w:rPr>
              <w:t>221.00</w:t>
            </w:r>
            <w:r>
              <w:rPr>
                <w:rFonts w:hint="eastAsia"/>
                <w:color w:val="auto"/>
                <w:highlight w:val="none"/>
              </w:rPr>
              <w:t>米</w:t>
            </w:r>
          </w:p>
        </w:tc>
        <w:tc>
          <w:tcPr>
            <w:tcW w:w="1072" w:type="dxa"/>
            <w:vAlign w:val="center"/>
          </w:tcPr>
          <w:p>
            <w:pPr>
              <w:pStyle w:val="272"/>
              <w:spacing w:line="240" w:lineRule="auto"/>
              <w:rPr>
                <w:rFonts w:hint="eastAsia"/>
                <w:color w:val="auto"/>
                <w:highlight w:val="none"/>
              </w:rPr>
            </w:pPr>
            <w:r>
              <w:rPr>
                <w:rFonts w:hint="eastAsia"/>
                <w:color w:val="auto"/>
                <w:highlight w:val="none"/>
                <w:lang w:val="en-US" w:eastAsia="zh-CN"/>
              </w:rPr>
              <w:t>12</w:t>
            </w:r>
            <w:r>
              <w:rPr>
                <w:rFonts w:hint="eastAsia"/>
                <w:color w:val="auto"/>
                <w:highlight w:val="none"/>
              </w:rPr>
              <w:t>次</w:t>
            </w:r>
          </w:p>
        </w:tc>
        <w:tc>
          <w:tcPr>
            <w:tcW w:w="1072" w:type="dxa"/>
            <w:vAlign w:val="center"/>
          </w:tcPr>
          <w:p>
            <w:pPr>
              <w:pStyle w:val="272"/>
              <w:spacing w:line="240" w:lineRule="auto"/>
              <w:rPr>
                <w:rFonts w:hint="eastAsia"/>
                <w:color w:val="auto"/>
                <w:highlight w:val="none"/>
              </w:rPr>
            </w:pPr>
            <w:r>
              <w:rPr>
                <w:rFonts w:hint="eastAsia"/>
                <w:color w:val="auto"/>
                <w:highlight w:val="none"/>
                <w:lang w:val="en-US" w:eastAsia="zh-CN"/>
              </w:rPr>
              <w:t>8</w:t>
            </w:r>
            <w:r>
              <w:rPr>
                <w:rFonts w:hint="eastAsia"/>
                <w:color w:val="auto"/>
                <w:highlight w:val="none"/>
              </w:rPr>
              <w:t>件</w:t>
            </w:r>
          </w:p>
        </w:tc>
        <w:tc>
          <w:tcPr>
            <w:tcW w:w="985" w:type="dxa"/>
            <w:vAlign w:val="center"/>
          </w:tcPr>
          <w:p>
            <w:pPr>
              <w:pStyle w:val="272"/>
              <w:spacing w:line="240" w:lineRule="auto"/>
              <w:rPr>
                <w:rFonts w:hint="eastAsia"/>
                <w:color w:val="auto"/>
                <w:highlight w:val="none"/>
              </w:rPr>
            </w:pPr>
            <w:r>
              <w:rPr>
                <w:rFonts w:hint="eastAsia"/>
                <w:color w:val="auto"/>
                <w:highlight w:val="none"/>
              </w:rPr>
              <w:t>2件</w:t>
            </w:r>
          </w:p>
        </w:tc>
      </w:tr>
    </w:tbl>
    <w:p>
      <w:pPr>
        <w:ind w:left="0" w:leftChars="0" w:firstLine="0" w:firstLineChars="0"/>
        <w:jc w:val="center"/>
        <w:rPr>
          <w:rFonts w:hint="eastAsia"/>
          <w:color w:val="auto"/>
          <w:highlight w:val="none"/>
        </w:rPr>
      </w:pPr>
      <w:r>
        <w:rPr>
          <w:rFonts w:hint="eastAsia"/>
          <w:color w:val="auto"/>
          <w:highlight w:val="none"/>
        </w:rPr>
        <w:br w:type="page"/>
      </w:r>
    </w:p>
    <w:p>
      <w:pPr>
        <w:ind w:left="0" w:leftChars="0" w:firstLine="0" w:firstLineChars="0"/>
        <w:jc w:val="center"/>
        <w:rPr>
          <w:rFonts w:hint="eastAsia"/>
          <w:color w:val="auto"/>
          <w:highlight w:val="none"/>
        </w:rPr>
      </w:pPr>
      <w:r>
        <w:rPr>
          <w:rFonts w:hint="eastAsia"/>
          <w:color w:val="auto"/>
          <w:highlight w:val="none"/>
          <w:lang w:eastAsia="zh-CN"/>
        </w:rPr>
        <w:t>表</w:t>
      </w:r>
      <w:r>
        <w:rPr>
          <w:rFonts w:hint="eastAsia"/>
          <w:color w:val="auto"/>
          <w:highlight w:val="none"/>
          <w:lang w:val="en-US" w:eastAsia="zh-CN"/>
        </w:rPr>
        <w:t xml:space="preserve">3-2 </w:t>
      </w:r>
      <w:r>
        <w:rPr>
          <w:rFonts w:hint="eastAsia"/>
          <w:color w:val="auto"/>
          <w:highlight w:val="none"/>
        </w:rPr>
        <w:t xml:space="preserve">控制点坐标数据   </w:t>
      </w:r>
    </w:p>
    <w:tbl>
      <w:tblPr>
        <w:tblStyle w:val="4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706"/>
        <w:gridCol w:w="1704"/>
        <w:gridCol w:w="1704"/>
        <w:gridCol w:w="1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8522" w:type="dxa"/>
            <w:gridSpan w:val="5"/>
            <w:vAlign w:val="center"/>
          </w:tcPr>
          <w:p>
            <w:pPr>
              <w:pStyle w:val="272"/>
              <w:spacing w:line="240" w:lineRule="auto"/>
              <w:rPr>
                <w:rFonts w:hint="eastAsia"/>
                <w:color w:val="auto"/>
                <w:highlight w:val="none"/>
              </w:rPr>
            </w:pPr>
            <w:r>
              <w:rPr>
                <w:rFonts w:hint="eastAsia"/>
                <w:color w:val="auto"/>
                <w:highlight w:val="none"/>
              </w:rPr>
              <w:t>控制点数据（2000国家大地坐标系，1985国家基准高程系）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1704" w:type="dxa"/>
            <w:vMerge w:val="restart"/>
            <w:vAlign w:val="center"/>
          </w:tcPr>
          <w:p>
            <w:pPr>
              <w:pStyle w:val="272"/>
              <w:spacing w:line="240" w:lineRule="auto"/>
              <w:rPr>
                <w:rFonts w:hint="eastAsia"/>
                <w:color w:val="auto"/>
                <w:highlight w:val="none"/>
              </w:rPr>
            </w:pPr>
            <w:r>
              <w:rPr>
                <w:rFonts w:hint="eastAsia"/>
                <w:color w:val="auto"/>
                <w:highlight w:val="none"/>
              </w:rPr>
              <w:t>点号</w:t>
            </w:r>
          </w:p>
        </w:tc>
        <w:tc>
          <w:tcPr>
            <w:tcW w:w="5114" w:type="dxa"/>
            <w:gridSpan w:val="3"/>
            <w:vAlign w:val="center"/>
          </w:tcPr>
          <w:p>
            <w:pPr>
              <w:pStyle w:val="272"/>
              <w:spacing w:line="240" w:lineRule="auto"/>
              <w:rPr>
                <w:rFonts w:hint="eastAsia"/>
                <w:color w:val="auto"/>
                <w:highlight w:val="none"/>
              </w:rPr>
            </w:pPr>
            <w:r>
              <w:rPr>
                <w:rFonts w:hint="eastAsia"/>
                <w:color w:val="auto"/>
                <w:highlight w:val="none"/>
              </w:rPr>
              <w:t>控制点坐标</w:t>
            </w:r>
          </w:p>
        </w:tc>
        <w:tc>
          <w:tcPr>
            <w:tcW w:w="1704" w:type="dxa"/>
            <w:vMerge w:val="restart"/>
            <w:vAlign w:val="center"/>
          </w:tcPr>
          <w:p>
            <w:pPr>
              <w:pStyle w:val="272"/>
              <w:spacing w:line="240" w:lineRule="auto"/>
              <w:rPr>
                <w:rFonts w:hint="eastAsia"/>
                <w:color w:val="auto"/>
                <w:highlight w:val="none"/>
              </w:rPr>
            </w:pPr>
            <w:r>
              <w:rPr>
                <w:rFonts w:hint="eastAsia"/>
                <w:color w:val="auto"/>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1704" w:type="dxa"/>
            <w:vMerge w:val="continue"/>
            <w:vAlign w:val="center"/>
          </w:tcPr>
          <w:p>
            <w:pPr>
              <w:pStyle w:val="272"/>
              <w:spacing w:line="240" w:lineRule="auto"/>
              <w:rPr>
                <w:rFonts w:hint="eastAsia"/>
                <w:color w:val="auto"/>
                <w:highlight w:val="none"/>
              </w:rPr>
            </w:pPr>
          </w:p>
        </w:tc>
        <w:tc>
          <w:tcPr>
            <w:tcW w:w="1706" w:type="dxa"/>
            <w:vAlign w:val="center"/>
          </w:tcPr>
          <w:p>
            <w:pPr>
              <w:pStyle w:val="272"/>
              <w:spacing w:line="240" w:lineRule="auto"/>
              <w:rPr>
                <w:rFonts w:hint="eastAsia"/>
                <w:color w:val="auto"/>
                <w:highlight w:val="none"/>
              </w:rPr>
            </w:pPr>
            <w:r>
              <w:rPr>
                <w:rFonts w:hint="eastAsia"/>
                <w:color w:val="auto"/>
                <w:highlight w:val="none"/>
              </w:rPr>
              <w:t>X</w:t>
            </w:r>
          </w:p>
        </w:tc>
        <w:tc>
          <w:tcPr>
            <w:tcW w:w="1704" w:type="dxa"/>
            <w:vAlign w:val="center"/>
          </w:tcPr>
          <w:p>
            <w:pPr>
              <w:pStyle w:val="272"/>
              <w:spacing w:line="240" w:lineRule="auto"/>
              <w:rPr>
                <w:rFonts w:hint="eastAsia"/>
                <w:color w:val="auto"/>
                <w:highlight w:val="none"/>
              </w:rPr>
            </w:pPr>
            <w:r>
              <w:rPr>
                <w:rFonts w:hint="eastAsia"/>
                <w:color w:val="auto"/>
                <w:highlight w:val="none"/>
              </w:rPr>
              <w:t>Y</w:t>
            </w:r>
          </w:p>
        </w:tc>
        <w:tc>
          <w:tcPr>
            <w:tcW w:w="1704" w:type="dxa"/>
            <w:vAlign w:val="center"/>
          </w:tcPr>
          <w:p>
            <w:pPr>
              <w:pStyle w:val="272"/>
              <w:spacing w:line="240" w:lineRule="auto"/>
              <w:rPr>
                <w:rFonts w:hint="eastAsia"/>
                <w:color w:val="auto"/>
                <w:highlight w:val="none"/>
              </w:rPr>
            </w:pPr>
            <w:r>
              <w:rPr>
                <w:rFonts w:hint="eastAsia"/>
                <w:color w:val="auto"/>
                <w:highlight w:val="none"/>
              </w:rPr>
              <w:t>H</w:t>
            </w:r>
          </w:p>
        </w:tc>
        <w:tc>
          <w:tcPr>
            <w:tcW w:w="1704" w:type="dxa"/>
            <w:vMerge w:val="continue"/>
            <w:vAlign w:val="center"/>
          </w:tcPr>
          <w:p>
            <w:pPr>
              <w:pStyle w:val="272"/>
              <w:spacing w:line="240" w:lineRule="auto"/>
              <w:rPr>
                <w:rFonts w:hint="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trPr>
        <w:tc>
          <w:tcPr>
            <w:tcW w:w="1704" w:type="dxa"/>
            <w:vAlign w:val="center"/>
          </w:tcPr>
          <w:p>
            <w:pPr>
              <w:pStyle w:val="272"/>
              <w:spacing w:line="240" w:lineRule="auto"/>
              <w:rPr>
                <w:rFonts w:hint="default"/>
                <w:color w:val="auto"/>
                <w:highlight w:val="none"/>
                <w:lang w:val="en-US" w:eastAsia="zh-CN"/>
              </w:rPr>
            </w:pPr>
            <w:r>
              <w:rPr>
                <w:rFonts w:hint="eastAsia"/>
                <w:color w:val="auto"/>
                <w:highlight w:val="none"/>
                <w:lang w:val="en-US" w:eastAsia="zh-CN"/>
              </w:rPr>
              <w:t>C6</w:t>
            </w:r>
          </w:p>
        </w:tc>
        <w:tc>
          <w:tcPr>
            <w:tcW w:w="1706" w:type="dxa"/>
            <w:vAlign w:val="center"/>
          </w:tcPr>
          <w:p>
            <w:pPr>
              <w:pStyle w:val="272"/>
              <w:spacing w:line="240" w:lineRule="auto"/>
              <w:rPr>
                <w:rFonts w:hint="eastAsia"/>
                <w:color w:val="auto"/>
                <w:highlight w:val="none"/>
              </w:rPr>
            </w:pPr>
            <w:r>
              <w:rPr>
                <w:rFonts w:hint="eastAsia"/>
                <w:color w:val="auto"/>
                <w:highlight w:val="none"/>
                <w:lang w:val="en-US" w:eastAsia="zh-CN"/>
              </w:rPr>
              <w:t>2614699.654</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469776.366</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96.229</w:t>
            </w:r>
          </w:p>
        </w:tc>
        <w:tc>
          <w:tcPr>
            <w:tcW w:w="1704" w:type="dxa"/>
            <w:vAlign w:val="center"/>
          </w:tcPr>
          <w:p>
            <w:pPr>
              <w:pStyle w:val="272"/>
              <w:spacing w:line="240" w:lineRule="auto"/>
              <w:rPr>
                <w:rFonts w:hint="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C5</w:t>
            </w:r>
          </w:p>
        </w:tc>
        <w:tc>
          <w:tcPr>
            <w:tcW w:w="1706" w:type="dxa"/>
            <w:vAlign w:val="center"/>
          </w:tcPr>
          <w:p>
            <w:pPr>
              <w:pStyle w:val="272"/>
              <w:spacing w:line="240" w:lineRule="auto"/>
              <w:rPr>
                <w:rFonts w:hint="eastAsia"/>
                <w:color w:val="auto"/>
                <w:highlight w:val="none"/>
              </w:rPr>
            </w:pPr>
            <w:r>
              <w:rPr>
                <w:rFonts w:hint="eastAsia"/>
                <w:color w:val="auto"/>
                <w:highlight w:val="none"/>
                <w:lang w:val="en-US" w:eastAsia="zh-CN"/>
              </w:rPr>
              <w:t>2614726.665</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469619.516</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95.63</w:t>
            </w:r>
          </w:p>
        </w:tc>
        <w:tc>
          <w:tcPr>
            <w:tcW w:w="1704" w:type="dxa"/>
            <w:vAlign w:val="center"/>
          </w:tcPr>
          <w:p>
            <w:pPr>
              <w:pStyle w:val="272"/>
              <w:spacing w:line="240" w:lineRule="auto"/>
              <w:rPr>
                <w:rFonts w:hint="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C3</w:t>
            </w:r>
          </w:p>
        </w:tc>
        <w:tc>
          <w:tcPr>
            <w:tcW w:w="1706" w:type="dxa"/>
            <w:vAlign w:val="center"/>
          </w:tcPr>
          <w:p>
            <w:pPr>
              <w:pStyle w:val="272"/>
              <w:spacing w:line="240" w:lineRule="auto"/>
              <w:rPr>
                <w:rFonts w:hint="eastAsia"/>
                <w:color w:val="auto"/>
                <w:highlight w:val="none"/>
              </w:rPr>
            </w:pPr>
            <w:r>
              <w:rPr>
                <w:rFonts w:hint="eastAsia"/>
                <w:color w:val="auto"/>
                <w:highlight w:val="none"/>
                <w:lang w:val="en-US" w:eastAsia="zh-CN"/>
              </w:rPr>
              <w:t>2614594.164</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469420.152</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95.033</w:t>
            </w:r>
          </w:p>
        </w:tc>
        <w:tc>
          <w:tcPr>
            <w:tcW w:w="1704" w:type="dxa"/>
            <w:vAlign w:val="center"/>
          </w:tcPr>
          <w:p>
            <w:pPr>
              <w:pStyle w:val="272"/>
              <w:spacing w:line="240" w:lineRule="auto"/>
              <w:rPr>
                <w:rFonts w:hint="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C4</w:t>
            </w:r>
          </w:p>
        </w:tc>
        <w:tc>
          <w:tcPr>
            <w:tcW w:w="1706" w:type="dxa"/>
            <w:vAlign w:val="center"/>
          </w:tcPr>
          <w:p>
            <w:pPr>
              <w:pStyle w:val="272"/>
              <w:spacing w:line="240" w:lineRule="auto"/>
              <w:rPr>
                <w:rFonts w:hint="eastAsia"/>
                <w:color w:val="auto"/>
                <w:highlight w:val="none"/>
              </w:rPr>
            </w:pPr>
            <w:r>
              <w:rPr>
                <w:rFonts w:hint="eastAsia"/>
                <w:color w:val="auto"/>
                <w:highlight w:val="none"/>
                <w:lang w:val="en-US" w:eastAsia="zh-CN"/>
              </w:rPr>
              <w:t>2614557.242</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469426.443</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95.097</w:t>
            </w:r>
          </w:p>
        </w:tc>
        <w:tc>
          <w:tcPr>
            <w:tcW w:w="1704" w:type="dxa"/>
            <w:vAlign w:val="center"/>
          </w:tcPr>
          <w:p>
            <w:pPr>
              <w:pStyle w:val="272"/>
              <w:spacing w:line="240" w:lineRule="auto"/>
              <w:rPr>
                <w:rFonts w:hint="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CC2</w:t>
            </w:r>
          </w:p>
        </w:tc>
        <w:tc>
          <w:tcPr>
            <w:tcW w:w="1706" w:type="dxa"/>
            <w:vAlign w:val="center"/>
          </w:tcPr>
          <w:p>
            <w:pPr>
              <w:pStyle w:val="272"/>
              <w:spacing w:line="240" w:lineRule="auto"/>
              <w:rPr>
                <w:rFonts w:hint="eastAsia"/>
                <w:color w:val="auto"/>
                <w:highlight w:val="none"/>
              </w:rPr>
            </w:pPr>
            <w:r>
              <w:rPr>
                <w:rFonts w:hint="eastAsia"/>
                <w:color w:val="auto"/>
                <w:highlight w:val="none"/>
                <w:lang w:val="en-US" w:eastAsia="zh-CN"/>
              </w:rPr>
              <w:t>2614460.786</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469017.456</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90.609</w:t>
            </w:r>
          </w:p>
        </w:tc>
        <w:tc>
          <w:tcPr>
            <w:tcW w:w="1704" w:type="dxa"/>
            <w:vAlign w:val="center"/>
          </w:tcPr>
          <w:p>
            <w:pPr>
              <w:pStyle w:val="272"/>
              <w:spacing w:line="240" w:lineRule="auto"/>
              <w:rPr>
                <w:rFonts w:hint="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CC1</w:t>
            </w:r>
          </w:p>
        </w:tc>
        <w:tc>
          <w:tcPr>
            <w:tcW w:w="1706" w:type="dxa"/>
            <w:vAlign w:val="center"/>
          </w:tcPr>
          <w:p>
            <w:pPr>
              <w:pStyle w:val="272"/>
              <w:spacing w:line="240" w:lineRule="auto"/>
              <w:rPr>
                <w:rFonts w:hint="eastAsia"/>
                <w:color w:val="auto"/>
                <w:highlight w:val="none"/>
              </w:rPr>
            </w:pPr>
            <w:r>
              <w:rPr>
                <w:rFonts w:hint="eastAsia"/>
                <w:color w:val="auto"/>
                <w:highlight w:val="none"/>
                <w:lang w:val="en-US" w:eastAsia="zh-CN"/>
              </w:rPr>
              <w:t>2614417.203</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469044.995</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89.749</w:t>
            </w:r>
          </w:p>
        </w:tc>
        <w:tc>
          <w:tcPr>
            <w:tcW w:w="1704" w:type="dxa"/>
            <w:vAlign w:val="center"/>
          </w:tcPr>
          <w:p>
            <w:pPr>
              <w:pStyle w:val="272"/>
              <w:spacing w:line="240" w:lineRule="auto"/>
              <w:rPr>
                <w:rFonts w:hint="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Bm³6</w:t>
            </w:r>
          </w:p>
        </w:tc>
        <w:tc>
          <w:tcPr>
            <w:tcW w:w="1706" w:type="dxa"/>
            <w:vAlign w:val="center"/>
          </w:tcPr>
          <w:p>
            <w:pPr>
              <w:pStyle w:val="272"/>
              <w:spacing w:line="240" w:lineRule="auto"/>
              <w:rPr>
                <w:rFonts w:hint="eastAsia"/>
                <w:color w:val="auto"/>
                <w:highlight w:val="none"/>
              </w:rPr>
            </w:pPr>
            <w:r>
              <w:rPr>
                <w:rFonts w:hint="eastAsia"/>
                <w:color w:val="auto"/>
                <w:highlight w:val="none"/>
                <w:lang w:val="en-US" w:eastAsia="zh-CN"/>
              </w:rPr>
              <w:t>2614055.943</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468841.593</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95.765</w:t>
            </w:r>
          </w:p>
        </w:tc>
        <w:tc>
          <w:tcPr>
            <w:tcW w:w="1704" w:type="dxa"/>
            <w:vAlign w:val="center"/>
          </w:tcPr>
          <w:p>
            <w:pPr>
              <w:pStyle w:val="272"/>
              <w:spacing w:line="240" w:lineRule="auto"/>
              <w:rPr>
                <w:rFonts w:hint="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GPSE374</w:t>
            </w:r>
          </w:p>
        </w:tc>
        <w:tc>
          <w:tcPr>
            <w:tcW w:w="1706" w:type="dxa"/>
            <w:vAlign w:val="center"/>
          </w:tcPr>
          <w:p>
            <w:pPr>
              <w:pStyle w:val="272"/>
              <w:spacing w:line="240" w:lineRule="auto"/>
              <w:rPr>
                <w:rFonts w:hint="eastAsia"/>
                <w:color w:val="auto"/>
                <w:highlight w:val="none"/>
              </w:rPr>
            </w:pPr>
            <w:r>
              <w:rPr>
                <w:rFonts w:hint="eastAsia"/>
                <w:color w:val="auto"/>
                <w:highlight w:val="none"/>
                <w:lang w:val="en-US" w:eastAsia="zh-CN"/>
              </w:rPr>
              <w:t>2613610.243</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468616.322</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94.945</w:t>
            </w:r>
          </w:p>
        </w:tc>
        <w:tc>
          <w:tcPr>
            <w:tcW w:w="1704" w:type="dxa"/>
            <w:vAlign w:val="center"/>
          </w:tcPr>
          <w:p>
            <w:pPr>
              <w:pStyle w:val="272"/>
              <w:spacing w:line="240" w:lineRule="auto"/>
              <w:rPr>
                <w:rFonts w:hint="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F1</w:t>
            </w:r>
          </w:p>
        </w:tc>
        <w:tc>
          <w:tcPr>
            <w:tcW w:w="1706" w:type="dxa"/>
            <w:vAlign w:val="center"/>
          </w:tcPr>
          <w:p>
            <w:pPr>
              <w:pStyle w:val="272"/>
              <w:spacing w:line="240" w:lineRule="auto"/>
              <w:rPr>
                <w:rFonts w:hint="eastAsia"/>
                <w:color w:val="auto"/>
                <w:highlight w:val="none"/>
              </w:rPr>
            </w:pPr>
            <w:r>
              <w:rPr>
                <w:rFonts w:hint="eastAsia"/>
                <w:color w:val="auto"/>
                <w:highlight w:val="none"/>
                <w:lang w:val="en-US" w:eastAsia="zh-CN"/>
              </w:rPr>
              <w:t>2613585.46</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468627.012</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85.015</w:t>
            </w:r>
          </w:p>
        </w:tc>
        <w:tc>
          <w:tcPr>
            <w:tcW w:w="1704" w:type="dxa"/>
            <w:vAlign w:val="center"/>
          </w:tcPr>
          <w:p>
            <w:pPr>
              <w:pStyle w:val="272"/>
              <w:spacing w:line="240" w:lineRule="auto"/>
              <w:rPr>
                <w:rFonts w:hint="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C1</w:t>
            </w:r>
          </w:p>
        </w:tc>
        <w:tc>
          <w:tcPr>
            <w:tcW w:w="1706" w:type="dxa"/>
            <w:vAlign w:val="center"/>
          </w:tcPr>
          <w:p>
            <w:pPr>
              <w:pStyle w:val="272"/>
              <w:spacing w:line="240" w:lineRule="auto"/>
              <w:rPr>
                <w:rFonts w:hint="eastAsia"/>
                <w:color w:val="auto"/>
                <w:highlight w:val="none"/>
              </w:rPr>
            </w:pPr>
            <w:r>
              <w:rPr>
                <w:rFonts w:hint="eastAsia"/>
                <w:color w:val="auto"/>
                <w:highlight w:val="none"/>
                <w:lang w:val="en-US" w:eastAsia="zh-CN"/>
              </w:rPr>
              <w:t>2613580.977</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468677.158</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69.532</w:t>
            </w:r>
          </w:p>
        </w:tc>
        <w:tc>
          <w:tcPr>
            <w:tcW w:w="1704" w:type="dxa"/>
            <w:vAlign w:val="center"/>
          </w:tcPr>
          <w:p>
            <w:pPr>
              <w:pStyle w:val="272"/>
              <w:spacing w:line="240" w:lineRule="auto"/>
              <w:rPr>
                <w:rFonts w:hint="eastAsia"/>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C2</w:t>
            </w:r>
          </w:p>
        </w:tc>
        <w:tc>
          <w:tcPr>
            <w:tcW w:w="1706" w:type="dxa"/>
            <w:vAlign w:val="center"/>
          </w:tcPr>
          <w:p>
            <w:pPr>
              <w:pStyle w:val="272"/>
              <w:spacing w:line="240" w:lineRule="auto"/>
              <w:rPr>
                <w:rFonts w:hint="eastAsia"/>
                <w:color w:val="auto"/>
                <w:highlight w:val="none"/>
              </w:rPr>
            </w:pPr>
            <w:r>
              <w:rPr>
                <w:rFonts w:hint="eastAsia"/>
                <w:color w:val="auto"/>
                <w:highlight w:val="none"/>
                <w:lang w:val="en-US" w:eastAsia="zh-CN"/>
              </w:rPr>
              <w:t>2613554.531</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468696.579</w:t>
            </w:r>
          </w:p>
        </w:tc>
        <w:tc>
          <w:tcPr>
            <w:tcW w:w="1704" w:type="dxa"/>
            <w:vAlign w:val="center"/>
          </w:tcPr>
          <w:p>
            <w:pPr>
              <w:pStyle w:val="272"/>
              <w:spacing w:line="240" w:lineRule="auto"/>
              <w:rPr>
                <w:rFonts w:hint="eastAsia"/>
                <w:color w:val="auto"/>
                <w:highlight w:val="none"/>
              </w:rPr>
            </w:pPr>
            <w:r>
              <w:rPr>
                <w:rFonts w:hint="eastAsia"/>
                <w:color w:val="auto"/>
                <w:highlight w:val="none"/>
                <w:lang w:val="en-US" w:eastAsia="zh-CN"/>
              </w:rPr>
              <w:t>69.5</w:t>
            </w:r>
          </w:p>
        </w:tc>
        <w:tc>
          <w:tcPr>
            <w:tcW w:w="1704" w:type="dxa"/>
            <w:vAlign w:val="center"/>
          </w:tcPr>
          <w:p>
            <w:pPr>
              <w:pStyle w:val="272"/>
              <w:spacing w:line="240" w:lineRule="auto"/>
              <w:rPr>
                <w:rFonts w:hint="eastAsia"/>
                <w:color w:val="auto"/>
                <w:highlight w:val="none"/>
              </w:rPr>
            </w:pPr>
          </w:p>
        </w:tc>
      </w:tr>
    </w:tbl>
    <w:p>
      <w:pPr>
        <w:ind w:firstLine="480"/>
        <w:rPr>
          <w:rFonts w:hint="eastAsia"/>
          <w:color w:val="auto"/>
          <w:highlight w:val="none"/>
        </w:rPr>
      </w:pPr>
      <w:r>
        <w:rPr>
          <w:rFonts w:hint="eastAsia"/>
          <w:color w:val="auto"/>
          <w:highlight w:val="none"/>
        </w:rPr>
        <w:t>通过地质调查工作，工程区域地质环境和主要工程地质问题已基本查明，地勘工作的深度和质量满足设计要求。</w:t>
      </w:r>
    </w:p>
    <w:p>
      <w:pPr>
        <w:pStyle w:val="3"/>
        <w:rPr>
          <w:color w:val="auto"/>
          <w:highlight w:val="none"/>
        </w:rPr>
      </w:pPr>
      <w:bookmarkStart w:id="183" w:name="_Toc29642"/>
      <w:r>
        <w:rPr>
          <w:rFonts w:hint="eastAsia"/>
          <w:color w:val="auto"/>
          <w:highlight w:val="none"/>
        </w:rPr>
        <w:t>3</w:t>
      </w:r>
      <w:r>
        <w:rPr>
          <w:color w:val="auto"/>
          <w:highlight w:val="none"/>
        </w:rPr>
        <w:t xml:space="preserve">.2 </w:t>
      </w:r>
      <w:bookmarkEnd w:id="180"/>
      <w:r>
        <w:rPr>
          <w:rFonts w:hint="eastAsia"/>
          <w:color w:val="auto"/>
          <w:highlight w:val="none"/>
        </w:rPr>
        <w:t>区域地质</w:t>
      </w:r>
      <w:bookmarkEnd w:id="183"/>
    </w:p>
    <w:p>
      <w:pPr>
        <w:pStyle w:val="335"/>
        <w:spacing w:before="120" w:after="120"/>
        <w:rPr>
          <w:color w:val="auto"/>
          <w:highlight w:val="none"/>
        </w:rPr>
      </w:pPr>
      <w:r>
        <w:rPr>
          <w:rFonts w:hint="eastAsia"/>
          <w:color w:val="auto"/>
          <w:highlight w:val="none"/>
        </w:rPr>
        <w:t>3.2.1 区域地形地貌</w:t>
      </w:r>
    </w:p>
    <w:p>
      <w:pPr>
        <w:ind w:firstLine="480"/>
        <w:rPr>
          <w:rFonts w:hint="eastAsia"/>
          <w:color w:val="auto"/>
          <w:highlight w:val="none"/>
        </w:rPr>
      </w:pPr>
      <w:r>
        <w:rPr>
          <w:rFonts w:hint="eastAsia"/>
          <w:color w:val="auto"/>
          <w:highlight w:val="none"/>
        </w:rPr>
        <w:t>本区地处从化区</w:t>
      </w:r>
      <w:r>
        <w:rPr>
          <w:rFonts w:hint="eastAsia"/>
          <w:color w:val="auto"/>
          <w:highlight w:val="none"/>
          <w:lang w:eastAsia="zh-CN"/>
        </w:rPr>
        <w:t>桃莲村</w:t>
      </w:r>
      <w:r>
        <w:rPr>
          <w:rFonts w:hint="eastAsia"/>
          <w:color w:val="auto"/>
          <w:highlight w:val="none"/>
        </w:rPr>
        <w:t>。本流域南部（下游区）地貌单元地形起伏较大，山高约数十米。本流域为</w:t>
      </w:r>
      <w:r>
        <w:rPr>
          <w:rFonts w:hint="eastAsia"/>
          <w:color w:val="auto"/>
          <w:highlight w:val="none"/>
          <w:lang w:val="en-US" w:eastAsia="zh-CN"/>
        </w:rPr>
        <w:t>残积剥蚀丘陵</w:t>
      </w:r>
      <w:r>
        <w:rPr>
          <w:rFonts w:hint="eastAsia"/>
          <w:color w:val="auto"/>
          <w:highlight w:val="none"/>
        </w:rPr>
        <w:t>地形地</w:t>
      </w:r>
      <w:r>
        <w:rPr>
          <w:rFonts w:hint="eastAsia"/>
          <w:color w:val="auto"/>
          <w:highlight w:val="none"/>
          <w:lang w:val="en-US" w:eastAsia="zh-CN"/>
        </w:rPr>
        <w:t>貌</w:t>
      </w:r>
      <w:r>
        <w:rPr>
          <w:rFonts w:hint="eastAsia"/>
          <w:color w:val="auto"/>
          <w:highlight w:val="none"/>
        </w:rPr>
        <w:t>，地形起伏不甚大。</w:t>
      </w:r>
    </w:p>
    <w:p>
      <w:pPr>
        <w:pStyle w:val="335"/>
        <w:spacing w:before="120" w:after="120"/>
        <w:rPr>
          <w:rFonts w:hint="eastAsia"/>
          <w:color w:val="auto"/>
          <w:highlight w:val="none"/>
        </w:rPr>
      </w:pPr>
      <w:bookmarkStart w:id="184" w:name="_Toc344211457"/>
      <w:bookmarkStart w:id="185" w:name="_Toc340741591"/>
      <w:bookmarkStart w:id="186" w:name="_Toc109332902"/>
      <w:r>
        <w:rPr>
          <w:rFonts w:hint="eastAsia"/>
          <w:color w:val="auto"/>
          <w:highlight w:val="none"/>
          <w:lang w:val="en-US" w:eastAsia="zh-CN"/>
        </w:rPr>
        <w:t>3.</w:t>
      </w:r>
      <w:r>
        <w:rPr>
          <w:rFonts w:hint="eastAsia"/>
          <w:color w:val="auto"/>
          <w:highlight w:val="none"/>
        </w:rPr>
        <w:t>2.2 地层岩性</w:t>
      </w:r>
      <w:bookmarkEnd w:id="184"/>
      <w:bookmarkEnd w:id="185"/>
      <w:bookmarkEnd w:id="186"/>
    </w:p>
    <w:p>
      <w:pPr>
        <w:ind w:firstLine="480"/>
        <w:rPr>
          <w:rFonts w:hint="eastAsia"/>
          <w:color w:val="auto"/>
          <w:highlight w:val="none"/>
        </w:rPr>
      </w:pPr>
      <w:bookmarkStart w:id="187" w:name="_Toc344211458"/>
      <w:bookmarkStart w:id="188" w:name="_Toc340741592"/>
      <w:r>
        <w:rPr>
          <w:rFonts w:hint="eastAsia"/>
          <w:color w:val="auto"/>
          <w:highlight w:val="none"/>
        </w:rPr>
        <w:t>根据区域地质资料，本区域地表出露的地层主要有：</w:t>
      </w:r>
    </w:p>
    <w:p>
      <w:pPr>
        <w:ind w:firstLine="480"/>
        <w:rPr>
          <w:rFonts w:hint="eastAsia"/>
          <w:color w:val="auto"/>
          <w:highlight w:val="none"/>
        </w:rPr>
      </w:pPr>
      <w:r>
        <w:rPr>
          <w:rFonts w:hint="eastAsia"/>
          <w:color w:val="auto"/>
          <w:highlight w:val="none"/>
        </w:rPr>
        <w:t>1、第四系人工堆积层（Q</w:t>
      </w:r>
      <w:r>
        <w:rPr>
          <w:rFonts w:hint="eastAsia"/>
          <w:color w:val="auto"/>
          <w:highlight w:val="none"/>
          <w:vertAlign w:val="subscript"/>
        </w:rPr>
        <w:t>4</w:t>
      </w:r>
      <w:r>
        <w:rPr>
          <w:rFonts w:hint="eastAsia"/>
          <w:color w:val="auto"/>
          <w:highlight w:val="none"/>
          <w:vertAlign w:val="superscript"/>
        </w:rPr>
        <w:t>ml</w:t>
      </w:r>
      <w:r>
        <w:rPr>
          <w:rFonts w:hint="eastAsia"/>
          <w:color w:val="auto"/>
          <w:highlight w:val="none"/>
        </w:rPr>
        <w:t>）</w:t>
      </w:r>
    </w:p>
    <w:p>
      <w:pPr>
        <w:ind w:firstLine="480"/>
        <w:rPr>
          <w:rFonts w:hint="eastAsia"/>
          <w:color w:val="auto"/>
          <w:highlight w:val="none"/>
        </w:rPr>
      </w:pPr>
      <w:r>
        <w:rPr>
          <w:rFonts w:hint="eastAsia"/>
          <w:color w:val="auto"/>
          <w:highlight w:val="none"/>
        </w:rPr>
        <w:t>广泛分布于工程区内，主要为新近人工堆填形成，均匀性差，浅层堆填不同杂质。</w:t>
      </w:r>
    </w:p>
    <w:p>
      <w:pPr>
        <w:ind w:firstLine="480"/>
        <w:rPr>
          <w:rFonts w:hint="eastAsia"/>
          <w:color w:val="auto"/>
          <w:highlight w:val="none"/>
        </w:rPr>
      </w:pPr>
      <w:r>
        <w:rPr>
          <w:rFonts w:hint="eastAsia"/>
          <w:color w:val="auto"/>
          <w:highlight w:val="none"/>
        </w:rPr>
        <w:t>2、第四系</w:t>
      </w:r>
      <w:r>
        <w:rPr>
          <w:rFonts w:hint="eastAsia"/>
          <w:color w:val="auto"/>
          <w:highlight w:val="none"/>
          <w:lang w:val="en-US" w:eastAsia="zh-CN"/>
        </w:rPr>
        <w:t>残</w:t>
      </w:r>
      <w:r>
        <w:rPr>
          <w:rFonts w:hint="eastAsia"/>
          <w:color w:val="auto"/>
          <w:highlight w:val="none"/>
        </w:rPr>
        <w:t>积层(Q</w:t>
      </w:r>
      <w:r>
        <w:rPr>
          <w:rFonts w:hint="eastAsia"/>
          <w:color w:val="auto"/>
          <w:highlight w:val="none"/>
          <w:vertAlign w:val="subscript"/>
        </w:rPr>
        <w:t>4</w:t>
      </w:r>
      <w:r>
        <w:rPr>
          <w:rFonts w:hint="eastAsia"/>
          <w:color w:val="auto"/>
          <w:highlight w:val="none"/>
          <w:vertAlign w:val="superscript"/>
          <w:lang w:val="en-US" w:eastAsia="zh-CN"/>
        </w:rPr>
        <w:t>e</w:t>
      </w:r>
      <w:r>
        <w:rPr>
          <w:rFonts w:hint="eastAsia"/>
          <w:color w:val="auto"/>
          <w:highlight w:val="none"/>
          <w:vertAlign w:val="superscript"/>
        </w:rPr>
        <w:t>l</w:t>
      </w:r>
      <w:r>
        <w:rPr>
          <w:rFonts w:hint="eastAsia"/>
          <w:color w:val="auto"/>
          <w:highlight w:val="none"/>
        </w:rPr>
        <w:t>)</w:t>
      </w:r>
    </w:p>
    <w:p>
      <w:pPr>
        <w:ind w:firstLine="480"/>
        <w:rPr>
          <w:rFonts w:hint="eastAsia"/>
          <w:color w:val="auto"/>
          <w:highlight w:val="none"/>
        </w:rPr>
      </w:pPr>
      <w:r>
        <w:rPr>
          <w:rFonts w:hint="eastAsia"/>
          <w:color w:val="auto"/>
          <w:highlight w:val="none"/>
        </w:rPr>
        <w:t>分布在河流两岸，主要为河流冲洪积物，主要由粉土、粉（粘）土质砂等组成。</w:t>
      </w:r>
    </w:p>
    <w:p>
      <w:pPr>
        <w:spacing w:line="360" w:lineRule="auto"/>
        <w:ind w:left="0" w:leftChars="0" w:firstLine="0" w:firstLineChars="0"/>
        <w:jc w:val="center"/>
        <w:rPr>
          <w:rFonts w:hint="eastAsia" w:ascii="宋体" w:hAnsi="宋体"/>
          <w:b/>
          <w:bCs/>
          <w:snapToGrid w:val="0"/>
          <w:color w:val="auto"/>
          <w:kern w:val="44"/>
          <w:sz w:val="24"/>
          <w:highlight w:val="none"/>
        </w:rPr>
      </w:pPr>
      <w:r>
        <w:rPr>
          <w:color w:val="auto"/>
          <w:highlight w:val="none"/>
        </w:rPr>
        <w:drawing>
          <wp:inline distT="0" distB="0" distL="114300" distR="114300">
            <wp:extent cx="4669155" cy="3830955"/>
            <wp:effectExtent l="0" t="0" r="17145" b="17145"/>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35"/>
                    <a:stretch>
                      <a:fillRect/>
                    </a:stretch>
                  </pic:blipFill>
                  <pic:spPr>
                    <a:xfrm>
                      <a:off x="0" y="0"/>
                      <a:ext cx="4669155" cy="3830955"/>
                    </a:xfrm>
                    <a:prstGeom prst="rect">
                      <a:avLst/>
                    </a:prstGeom>
                    <a:noFill/>
                    <a:ln w="9525">
                      <a:noFill/>
                    </a:ln>
                  </pic:spPr>
                </pic:pic>
              </a:graphicData>
            </a:graphic>
          </wp:inline>
        </w:drawing>
      </w:r>
    </w:p>
    <w:p>
      <w:pPr>
        <w:spacing w:line="360" w:lineRule="auto"/>
        <w:ind w:left="0" w:leftChars="0" w:firstLine="0" w:firstLineChars="0"/>
        <w:jc w:val="center"/>
        <w:rPr>
          <w:rFonts w:hint="eastAsia" w:ascii="宋体" w:hAnsi="宋体"/>
          <w:b w:val="0"/>
          <w:bCs w:val="0"/>
          <w:snapToGrid w:val="0"/>
          <w:color w:val="auto"/>
          <w:kern w:val="44"/>
          <w:sz w:val="24"/>
          <w:highlight w:val="none"/>
        </w:rPr>
      </w:pPr>
      <w:r>
        <w:rPr>
          <w:rFonts w:hint="eastAsia" w:ascii="宋体" w:hAnsi="宋体"/>
          <w:b w:val="0"/>
          <w:bCs w:val="0"/>
          <w:snapToGrid w:val="0"/>
          <w:color w:val="auto"/>
          <w:kern w:val="44"/>
          <w:sz w:val="24"/>
          <w:highlight w:val="none"/>
        </w:rPr>
        <w:t>图</w:t>
      </w:r>
      <w:r>
        <w:rPr>
          <w:rFonts w:hint="eastAsia" w:ascii="宋体" w:hAnsi="宋体"/>
          <w:b w:val="0"/>
          <w:bCs w:val="0"/>
          <w:snapToGrid w:val="0"/>
          <w:color w:val="auto"/>
          <w:kern w:val="44"/>
          <w:sz w:val="24"/>
          <w:highlight w:val="none"/>
          <w:lang w:val="en-US" w:eastAsia="zh-CN"/>
        </w:rPr>
        <w:t>3</w:t>
      </w:r>
      <w:r>
        <w:rPr>
          <w:rFonts w:hint="eastAsia" w:ascii="宋体" w:hAnsi="宋体"/>
          <w:b w:val="0"/>
          <w:bCs w:val="0"/>
          <w:snapToGrid w:val="0"/>
          <w:color w:val="auto"/>
          <w:kern w:val="44"/>
          <w:sz w:val="24"/>
          <w:highlight w:val="none"/>
        </w:rPr>
        <w:t>-1区域地质图</w:t>
      </w:r>
    </w:p>
    <w:p>
      <w:pPr>
        <w:pStyle w:val="335"/>
        <w:spacing w:before="120" w:after="120"/>
        <w:rPr>
          <w:rFonts w:hint="eastAsia"/>
          <w:color w:val="auto"/>
          <w:highlight w:val="none"/>
          <w:lang w:val="en-US" w:eastAsia="zh-CN"/>
        </w:rPr>
      </w:pPr>
      <w:bookmarkStart w:id="189" w:name="_Toc109332903"/>
      <w:r>
        <w:rPr>
          <w:rFonts w:hint="eastAsia"/>
          <w:color w:val="auto"/>
          <w:highlight w:val="none"/>
          <w:lang w:val="en-US" w:eastAsia="zh-CN"/>
        </w:rPr>
        <w:t>3.2.3 地震</w:t>
      </w:r>
      <w:bookmarkEnd w:id="187"/>
      <w:bookmarkEnd w:id="188"/>
      <w:bookmarkEnd w:id="189"/>
    </w:p>
    <w:p>
      <w:pPr>
        <w:ind w:firstLine="480"/>
        <w:rPr>
          <w:rFonts w:hint="eastAsia"/>
          <w:color w:val="auto"/>
          <w:highlight w:val="none"/>
        </w:rPr>
      </w:pPr>
      <w:bookmarkStart w:id="190" w:name="_Toc340741593"/>
      <w:bookmarkStart w:id="191" w:name="_Toc344211459"/>
      <w:r>
        <w:rPr>
          <w:rFonts w:hint="eastAsia"/>
          <w:color w:val="auto"/>
          <w:highlight w:val="none"/>
        </w:rPr>
        <w:t>本区域地处华南华夏系构造带与南岭东西向构造带交接地带，经历了加里东构造旋回、印支构造旋回、燕山构造旋回和喜马拉雅构造旋回四个主要构造发展阶段，主要构造运动以燕山期大规模岩浆活动为主，断裂方向主要为北东向及北西向。</w:t>
      </w:r>
    </w:p>
    <w:p>
      <w:pPr>
        <w:ind w:firstLine="480"/>
        <w:rPr>
          <w:rFonts w:hint="eastAsia"/>
          <w:color w:val="auto"/>
          <w:highlight w:val="none"/>
        </w:rPr>
      </w:pPr>
      <w:r>
        <w:rPr>
          <w:rFonts w:hint="eastAsia"/>
          <w:color w:val="auto"/>
          <w:highlight w:val="none"/>
        </w:rPr>
        <w:t>根据《中国地震动参数区划图》（GB18306-2015）(1/400万)，工程区地震动峰值加速度等于0.05g，地震动反应谱特征周期0.35s，相应地震基本烈度等于Ⅵ度。根据区域构造稳定性分级，当地震基本烈度小于或等于Ⅵ度时，所在地区区域构造稳定性好。本工程所在地区地震基本烈度等于Ⅵ度，因此本区域构造稳定性好。</w:t>
      </w:r>
    </w:p>
    <w:p>
      <w:pPr>
        <w:pStyle w:val="335"/>
        <w:spacing w:before="120" w:after="120"/>
        <w:rPr>
          <w:rFonts w:hint="eastAsia"/>
          <w:color w:val="auto"/>
          <w:highlight w:val="none"/>
          <w:lang w:val="en-US" w:eastAsia="zh-CN"/>
        </w:rPr>
      </w:pPr>
      <w:bookmarkStart w:id="192" w:name="_Toc109332904"/>
      <w:r>
        <w:rPr>
          <w:rFonts w:hint="eastAsia"/>
          <w:color w:val="auto"/>
          <w:highlight w:val="none"/>
          <w:lang w:val="en-US" w:eastAsia="zh-CN"/>
        </w:rPr>
        <w:t>3.2.4 气候及水文地质条件</w:t>
      </w:r>
      <w:bookmarkEnd w:id="190"/>
      <w:bookmarkEnd w:id="191"/>
      <w:bookmarkEnd w:id="192"/>
    </w:p>
    <w:p>
      <w:pPr>
        <w:ind w:firstLine="480"/>
        <w:rPr>
          <w:rFonts w:hint="eastAsia"/>
          <w:color w:val="auto"/>
          <w:highlight w:val="none"/>
        </w:rPr>
      </w:pPr>
      <w:bookmarkStart w:id="193" w:name="_Toc344211460"/>
      <w:r>
        <w:rPr>
          <w:rFonts w:hint="eastAsia"/>
          <w:color w:val="auto"/>
          <w:highlight w:val="none"/>
        </w:rPr>
        <w:t>工程区地处亚热带季风气候，雨量充沛，植被发育，水土保持良好，降雨渗入补给量大，泉水众多。地下水类型以松散岩类孔隙水、碳酸盐岩类岩溶水及基岩裂隙水为主。松散岩类孔隙水广泛分布于河谷平原，含水层主要为冲积砂和砂砾石层，由大气降水补给，大部分区域水量中等～丰富，局部贫乏。碳酸盐岩类岩溶水、基岩裂隙水广泛分布于区域内，由地表水补给。</w:t>
      </w:r>
    </w:p>
    <w:bookmarkEnd w:id="193"/>
    <w:p>
      <w:pPr>
        <w:pStyle w:val="3"/>
        <w:rPr>
          <w:rFonts w:hint="eastAsia"/>
          <w:color w:val="auto"/>
          <w:highlight w:val="none"/>
        </w:rPr>
      </w:pPr>
      <w:bookmarkStart w:id="194" w:name="_Toc109332905"/>
      <w:bookmarkStart w:id="195" w:name="_Toc340741594"/>
      <w:bookmarkStart w:id="196" w:name="_Toc344211461"/>
      <w:bookmarkStart w:id="197" w:name="_Toc6126"/>
      <w:r>
        <w:rPr>
          <w:rFonts w:hint="eastAsia"/>
          <w:color w:val="auto"/>
          <w:highlight w:val="none"/>
          <w:lang w:val="en-US" w:eastAsia="zh-CN"/>
        </w:rPr>
        <w:t xml:space="preserve">3.3 </w:t>
      </w:r>
      <w:r>
        <w:rPr>
          <w:rFonts w:hint="eastAsia"/>
          <w:color w:val="auto"/>
          <w:highlight w:val="none"/>
        </w:rPr>
        <w:t>工程地质条件与评价</w:t>
      </w:r>
      <w:bookmarkEnd w:id="194"/>
      <w:bookmarkEnd w:id="195"/>
      <w:bookmarkEnd w:id="196"/>
      <w:bookmarkEnd w:id="197"/>
    </w:p>
    <w:p>
      <w:pPr>
        <w:pStyle w:val="335"/>
        <w:spacing w:before="120" w:after="120"/>
        <w:rPr>
          <w:rFonts w:hint="eastAsia"/>
          <w:color w:val="auto"/>
          <w:highlight w:val="none"/>
          <w:lang w:val="en-US" w:eastAsia="zh-CN"/>
        </w:rPr>
      </w:pPr>
      <w:bookmarkStart w:id="198" w:name="_Toc344211462"/>
      <w:bookmarkStart w:id="199" w:name="_Toc109332906"/>
      <w:bookmarkStart w:id="200" w:name="_Toc340741595"/>
      <w:r>
        <w:rPr>
          <w:rFonts w:hint="eastAsia"/>
          <w:color w:val="auto"/>
          <w:highlight w:val="none"/>
          <w:lang w:val="en-US" w:eastAsia="zh-CN"/>
        </w:rPr>
        <w:t>3.3.1堤围工程地质条件</w:t>
      </w:r>
      <w:bookmarkEnd w:id="198"/>
      <w:bookmarkEnd w:id="199"/>
      <w:bookmarkEnd w:id="200"/>
    </w:p>
    <w:p>
      <w:pPr>
        <w:ind w:firstLine="480"/>
        <w:rPr>
          <w:rFonts w:hint="eastAsia"/>
          <w:color w:val="auto"/>
          <w:highlight w:val="none"/>
        </w:rPr>
      </w:pPr>
      <w:r>
        <w:rPr>
          <w:rFonts w:hint="eastAsia"/>
          <w:color w:val="auto"/>
          <w:highlight w:val="none"/>
        </w:rPr>
        <w:t>本区出露地层经钻孔揭露，按岩土层的分布规律以及成因类型，自上而下顺序可分为：</w:t>
      </w:r>
    </w:p>
    <w:p>
      <w:pPr>
        <w:spacing w:line="360" w:lineRule="auto"/>
        <w:ind w:firstLine="480" w:firstLineChars="200"/>
        <w:rPr>
          <w:rFonts w:hint="eastAsia" w:ascii="宋体" w:hAnsi="宋体"/>
          <w:bCs/>
          <w:snapToGrid w:val="0"/>
          <w:color w:val="auto"/>
          <w:kern w:val="44"/>
          <w:sz w:val="24"/>
          <w:highlight w:val="none"/>
        </w:rPr>
      </w:pPr>
      <w:r>
        <w:rPr>
          <w:rFonts w:hint="eastAsia" w:ascii="宋体" w:hAnsi="宋体"/>
          <w:bCs/>
          <w:snapToGrid w:val="0"/>
          <w:color w:val="auto"/>
          <w:kern w:val="44"/>
          <w:sz w:val="24"/>
          <w:highlight w:val="none"/>
        </w:rPr>
        <w:t>1、填土(Q</w:t>
      </w:r>
      <w:r>
        <w:rPr>
          <w:rFonts w:hint="eastAsia" w:ascii="宋体" w:hAnsi="宋体"/>
          <w:bCs/>
          <w:snapToGrid w:val="0"/>
          <w:color w:val="auto"/>
          <w:kern w:val="44"/>
          <w:sz w:val="24"/>
          <w:highlight w:val="none"/>
          <w:vertAlign w:val="subscript"/>
        </w:rPr>
        <w:t>4</w:t>
      </w:r>
      <w:r>
        <w:rPr>
          <w:rFonts w:hint="eastAsia" w:ascii="宋体" w:hAnsi="宋体"/>
          <w:bCs/>
          <w:snapToGrid w:val="0"/>
          <w:color w:val="auto"/>
          <w:kern w:val="44"/>
          <w:sz w:val="24"/>
          <w:highlight w:val="none"/>
          <w:vertAlign w:val="superscript"/>
        </w:rPr>
        <w:t>ml</w:t>
      </w:r>
      <w:r>
        <w:rPr>
          <w:rFonts w:hint="eastAsia" w:ascii="宋体" w:hAnsi="宋体"/>
          <w:bCs/>
          <w:snapToGrid w:val="0"/>
          <w:color w:val="auto"/>
          <w:kern w:val="44"/>
          <w:sz w:val="24"/>
          <w:highlight w:val="none"/>
        </w:rPr>
        <w:t>)：为第①层素填土，为久年人工填筑土。</w:t>
      </w:r>
    </w:p>
    <w:p>
      <w:pPr>
        <w:spacing w:line="360" w:lineRule="auto"/>
        <w:ind w:firstLine="480" w:firstLineChars="200"/>
        <w:rPr>
          <w:rFonts w:hint="eastAsia" w:ascii="宋体" w:hAnsi="宋体"/>
          <w:bCs/>
          <w:snapToGrid w:val="0"/>
          <w:color w:val="auto"/>
          <w:kern w:val="44"/>
          <w:sz w:val="24"/>
          <w:highlight w:val="none"/>
        </w:rPr>
      </w:pPr>
      <w:r>
        <w:rPr>
          <w:rFonts w:hint="eastAsia" w:ascii="宋体" w:hAnsi="宋体"/>
          <w:bCs/>
          <w:snapToGrid w:val="0"/>
          <w:color w:val="auto"/>
          <w:kern w:val="44"/>
          <w:sz w:val="24"/>
          <w:highlight w:val="none"/>
        </w:rPr>
        <w:t>2、第四系</w:t>
      </w:r>
      <w:r>
        <w:rPr>
          <w:rFonts w:hint="eastAsia" w:ascii="宋体" w:hAnsi="宋体"/>
          <w:bCs/>
          <w:snapToGrid w:val="0"/>
          <w:color w:val="auto"/>
          <w:kern w:val="44"/>
          <w:sz w:val="24"/>
          <w:highlight w:val="none"/>
          <w:lang w:val="en-US" w:eastAsia="zh-CN"/>
        </w:rPr>
        <w:t>残</w:t>
      </w:r>
      <w:r>
        <w:rPr>
          <w:rFonts w:hint="eastAsia" w:ascii="宋体" w:hAnsi="宋体"/>
          <w:bCs/>
          <w:snapToGrid w:val="0"/>
          <w:color w:val="auto"/>
          <w:kern w:val="44"/>
          <w:sz w:val="24"/>
          <w:highlight w:val="none"/>
        </w:rPr>
        <w:t>积土</w:t>
      </w:r>
      <w:r>
        <w:rPr>
          <w:rFonts w:ascii="宋体" w:hAnsi="宋体"/>
          <w:bCs/>
          <w:snapToGrid w:val="0"/>
          <w:color w:val="auto"/>
          <w:kern w:val="44"/>
          <w:sz w:val="24"/>
          <w:highlight w:val="none"/>
        </w:rPr>
        <w:t>(Q</w:t>
      </w:r>
      <w:r>
        <w:rPr>
          <w:rFonts w:ascii="宋体" w:hAnsi="宋体"/>
          <w:bCs/>
          <w:snapToGrid w:val="0"/>
          <w:color w:val="auto"/>
          <w:kern w:val="44"/>
          <w:sz w:val="24"/>
          <w:highlight w:val="none"/>
          <w:vertAlign w:val="subscript"/>
        </w:rPr>
        <w:t>4</w:t>
      </w:r>
      <w:r>
        <w:rPr>
          <w:rFonts w:hint="eastAsia" w:ascii="宋体" w:hAnsi="宋体"/>
          <w:bCs/>
          <w:snapToGrid w:val="0"/>
          <w:color w:val="auto"/>
          <w:kern w:val="44"/>
          <w:sz w:val="24"/>
          <w:highlight w:val="none"/>
          <w:vertAlign w:val="superscript"/>
          <w:lang w:val="en-US" w:eastAsia="zh-CN"/>
        </w:rPr>
        <w:t>e</w:t>
      </w:r>
      <w:r>
        <w:rPr>
          <w:rFonts w:ascii="宋体" w:hAnsi="宋体"/>
          <w:bCs/>
          <w:snapToGrid w:val="0"/>
          <w:color w:val="auto"/>
          <w:kern w:val="44"/>
          <w:sz w:val="24"/>
          <w:highlight w:val="none"/>
          <w:vertAlign w:val="superscript"/>
        </w:rPr>
        <w:t>l</w:t>
      </w:r>
      <w:r>
        <w:rPr>
          <w:rFonts w:ascii="宋体" w:hAnsi="宋体"/>
          <w:bCs/>
          <w:snapToGrid w:val="0"/>
          <w:color w:val="auto"/>
          <w:kern w:val="44"/>
          <w:sz w:val="24"/>
          <w:highlight w:val="none"/>
        </w:rPr>
        <w:t>)</w:t>
      </w:r>
      <w:r>
        <w:rPr>
          <w:rFonts w:hint="eastAsia" w:ascii="宋体" w:hAnsi="宋体"/>
          <w:bCs/>
          <w:snapToGrid w:val="0"/>
          <w:color w:val="auto"/>
          <w:kern w:val="44"/>
          <w:sz w:val="24"/>
          <w:highlight w:val="none"/>
        </w:rPr>
        <w:t>：为粉质黏土。</w:t>
      </w:r>
    </w:p>
    <w:p>
      <w:pPr>
        <w:ind w:firstLine="480"/>
        <w:rPr>
          <w:rFonts w:hint="eastAsia"/>
          <w:color w:val="auto"/>
          <w:highlight w:val="none"/>
        </w:rPr>
      </w:pPr>
      <w:r>
        <w:rPr>
          <w:rFonts w:hint="eastAsia"/>
          <w:color w:val="auto"/>
          <w:highlight w:val="none"/>
        </w:rPr>
        <w:t xml:space="preserve"> (1)地层岩性</w:t>
      </w:r>
    </w:p>
    <w:p>
      <w:pPr>
        <w:ind w:firstLine="480"/>
        <w:rPr>
          <w:rFonts w:hint="eastAsia"/>
          <w:color w:val="auto"/>
          <w:highlight w:val="none"/>
        </w:rPr>
      </w:pPr>
      <w:r>
        <w:rPr>
          <w:rFonts w:hint="eastAsia"/>
          <w:color w:val="auto"/>
          <w:highlight w:val="none"/>
        </w:rPr>
        <w:t>经钻探揭示，钻孔控制深度范围内，岩土层自上而下可划分为</w:t>
      </w:r>
      <w:r>
        <w:rPr>
          <w:rFonts w:hint="eastAsia"/>
          <w:color w:val="auto"/>
          <w:highlight w:val="none"/>
          <w:lang w:val="en-US" w:eastAsia="zh-CN"/>
        </w:rPr>
        <w:t>2</w:t>
      </w:r>
      <w:r>
        <w:rPr>
          <w:rFonts w:hint="eastAsia"/>
          <w:color w:val="auto"/>
          <w:highlight w:val="none"/>
        </w:rPr>
        <w:t>个层次，现分述如下：</w:t>
      </w:r>
    </w:p>
    <w:p>
      <w:pPr>
        <w:ind w:firstLine="480"/>
        <w:rPr>
          <w:rFonts w:hint="eastAsia"/>
          <w:color w:val="auto"/>
          <w:highlight w:val="none"/>
        </w:rPr>
      </w:pPr>
      <w:r>
        <w:rPr>
          <w:rFonts w:hint="eastAsia"/>
          <w:color w:val="auto"/>
          <w:highlight w:val="none"/>
        </w:rPr>
        <w:t>填土层：</w:t>
      </w:r>
    </w:p>
    <w:p>
      <w:pPr>
        <w:ind w:firstLine="480"/>
        <w:rPr>
          <w:rFonts w:hint="eastAsia"/>
          <w:color w:val="auto"/>
          <w:highlight w:val="none"/>
        </w:rPr>
      </w:pPr>
      <w:r>
        <w:rPr>
          <w:rFonts w:hint="eastAsia"/>
          <w:color w:val="auto"/>
          <w:highlight w:val="none"/>
        </w:rPr>
        <w:t>第①层、填土：杂色,松散,稍湿;未固结、未压实，呈松散状，主要成分为粉粒、黏粒，局部夹少量强风化砂岩碎块、碎石。</w:t>
      </w:r>
      <w:r>
        <w:rPr>
          <w:rFonts w:hint="eastAsia"/>
          <w:color w:val="auto"/>
          <w:highlight w:val="none"/>
          <w:lang w:val="en-US" w:eastAsia="zh-CN"/>
        </w:rPr>
        <w:t>场区内钻孔均有揭露</w:t>
      </w:r>
      <w:r>
        <w:rPr>
          <w:rFonts w:hint="eastAsia"/>
          <w:color w:val="auto"/>
          <w:highlight w:val="none"/>
        </w:rPr>
        <w:t>。层厚0.</w:t>
      </w:r>
      <w:r>
        <w:rPr>
          <w:rFonts w:hint="eastAsia"/>
          <w:color w:val="auto"/>
          <w:highlight w:val="none"/>
          <w:lang w:val="en-US" w:eastAsia="zh-CN"/>
        </w:rPr>
        <w:t>4</w:t>
      </w:r>
      <w:r>
        <w:rPr>
          <w:rFonts w:hint="eastAsia"/>
          <w:color w:val="auto"/>
          <w:highlight w:val="none"/>
        </w:rPr>
        <w:t>-</w:t>
      </w:r>
      <w:r>
        <w:rPr>
          <w:rFonts w:hint="eastAsia"/>
          <w:color w:val="auto"/>
          <w:highlight w:val="none"/>
          <w:lang w:val="en-US" w:eastAsia="zh-CN"/>
        </w:rPr>
        <w:t>1.60</w:t>
      </w:r>
      <w:r>
        <w:rPr>
          <w:rFonts w:hint="eastAsia"/>
          <w:color w:val="auto"/>
          <w:highlight w:val="none"/>
        </w:rPr>
        <w:t>米，平均</w:t>
      </w:r>
      <w:r>
        <w:rPr>
          <w:rFonts w:hint="eastAsia"/>
          <w:color w:val="auto"/>
          <w:highlight w:val="none"/>
          <w:lang w:val="en-US" w:eastAsia="zh-CN"/>
        </w:rPr>
        <w:t>0.87</w:t>
      </w:r>
      <w:r>
        <w:rPr>
          <w:rFonts w:hint="eastAsia"/>
          <w:color w:val="auto"/>
          <w:highlight w:val="none"/>
        </w:rPr>
        <w:t>米。本层标贯6次，N=</w:t>
      </w:r>
      <w:r>
        <w:rPr>
          <w:rFonts w:hint="eastAsia"/>
          <w:color w:val="auto"/>
          <w:highlight w:val="none"/>
          <w:lang w:val="en-US" w:eastAsia="zh-CN"/>
        </w:rPr>
        <w:t>3</w:t>
      </w:r>
      <w:r>
        <w:rPr>
          <w:rFonts w:hint="eastAsia"/>
          <w:color w:val="auto"/>
          <w:highlight w:val="none"/>
        </w:rPr>
        <w:t>击～</w:t>
      </w:r>
      <w:r>
        <w:rPr>
          <w:rFonts w:hint="eastAsia"/>
          <w:color w:val="auto"/>
          <w:highlight w:val="none"/>
          <w:lang w:val="en-US" w:eastAsia="zh-CN"/>
        </w:rPr>
        <w:t>7</w:t>
      </w:r>
      <w:r>
        <w:rPr>
          <w:rFonts w:hint="eastAsia"/>
          <w:color w:val="auto"/>
          <w:highlight w:val="none"/>
        </w:rPr>
        <w:t>击，平均值</w:t>
      </w:r>
      <w:r>
        <w:rPr>
          <w:rFonts w:hint="eastAsia"/>
          <w:color w:val="auto"/>
          <w:highlight w:val="none"/>
          <w:lang w:val="en-US" w:eastAsia="zh-CN"/>
        </w:rPr>
        <w:t>4.8</w:t>
      </w:r>
      <w:r>
        <w:rPr>
          <w:rFonts w:hint="eastAsia"/>
          <w:color w:val="auto"/>
          <w:highlight w:val="none"/>
        </w:rPr>
        <w:t>击，</w:t>
      </w:r>
      <w:r>
        <w:rPr>
          <w:rFonts w:hint="eastAsia"/>
          <w:color w:val="auto"/>
          <w:highlight w:val="none"/>
          <w:lang w:val="en-US" w:eastAsia="zh-CN"/>
        </w:rPr>
        <w:t>修正标准</w:t>
      </w:r>
      <w:r>
        <w:rPr>
          <w:rFonts w:hint="eastAsia"/>
          <w:color w:val="auto"/>
          <w:highlight w:val="none"/>
        </w:rPr>
        <w:t>值</w:t>
      </w:r>
      <w:r>
        <w:rPr>
          <w:rFonts w:hint="eastAsia"/>
          <w:color w:val="auto"/>
          <w:highlight w:val="none"/>
          <w:lang w:val="en-US" w:eastAsia="zh-CN"/>
        </w:rPr>
        <w:t>4.82</w:t>
      </w:r>
      <w:r>
        <w:rPr>
          <w:rFonts w:hint="eastAsia"/>
          <w:color w:val="auto"/>
          <w:highlight w:val="none"/>
        </w:rPr>
        <w:t>击。</w:t>
      </w:r>
    </w:p>
    <w:p>
      <w:pPr>
        <w:ind w:firstLine="480"/>
        <w:rPr>
          <w:rFonts w:hint="eastAsia"/>
          <w:color w:val="auto"/>
          <w:highlight w:val="none"/>
        </w:rPr>
      </w:pPr>
      <w:r>
        <w:rPr>
          <w:rFonts w:hint="eastAsia"/>
          <w:color w:val="auto"/>
          <w:highlight w:val="none"/>
        </w:rPr>
        <w:t>第②层、粉质粘土：黄色、亚黄色、褐黄色,稍密,稍湿,可塑状;无摇振反应，稍有光滑，干强度中等，韧性中等。主要成份为粘粒、粉粒，局部含少量碎块和碎石。</w:t>
      </w:r>
      <w:r>
        <w:rPr>
          <w:rFonts w:hint="eastAsia"/>
          <w:color w:val="auto"/>
          <w:highlight w:val="none"/>
          <w:lang w:val="en-US" w:eastAsia="zh-CN"/>
        </w:rPr>
        <w:t>场区内钻孔均有揭露</w:t>
      </w:r>
      <w:r>
        <w:rPr>
          <w:rFonts w:hint="eastAsia"/>
          <w:color w:val="auto"/>
          <w:highlight w:val="none"/>
        </w:rPr>
        <w:t>。层厚</w:t>
      </w:r>
      <w:r>
        <w:rPr>
          <w:rFonts w:hint="eastAsia"/>
          <w:color w:val="auto"/>
          <w:highlight w:val="none"/>
          <w:lang w:val="en-US" w:eastAsia="zh-CN"/>
        </w:rPr>
        <w:t>12.6</w:t>
      </w:r>
      <w:r>
        <w:rPr>
          <w:rFonts w:hint="eastAsia"/>
          <w:color w:val="auto"/>
          <w:highlight w:val="none"/>
        </w:rPr>
        <w:t>～</w:t>
      </w:r>
      <w:r>
        <w:rPr>
          <w:rFonts w:hint="eastAsia"/>
          <w:color w:val="auto"/>
          <w:highlight w:val="none"/>
          <w:lang w:val="en-US" w:eastAsia="zh-CN"/>
        </w:rPr>
        <w:t>15.6</w:t>
      </w:r>
      <w:r>
        <w:rPr>
          <w:rFonts w:hint="eastAsia"/>
          <w:color w:val="auto"/>
          <w:highlight w:val="none"/>
        </w:rPr>
        <w:t>米，平均</w:t>
      </w:r>
      <w:r>
        <w:rPr>
          <w:rFonts w:hint="eastAsia"/>
          <w:color w:val="auto"/>
          <w:highlight w:val="none"/>
          <w:lang w:val="en-US" w:eastAsia="zh-CN"/>
        </w:rPr>
        <w:t>13.87</w:t>
      </w:r>
      <w:r>
        <w:rPr>
          <w:rFonts w:hint="eastAsia"/>
          <w:color w:val="auto"/>
          <w:highlight w:val="none"/>
        </w:rPr>
        <w:t>米。本层为弱透水。本层标贯</w:t>
      </w:r>
      <w:r>
        <w:rPr>
          <w:rFonts w:hint="eastAsia"/>
          <w:color w:val="auto"/>
          <w:highlight w:val="none"/>
          <w:lang w:val="en-US" w:eastAsia="zh-CN"/>
        </w:rPr>
        <w:t>6</w:t>
      </w:r>
      <w:r>
        <w:rPr>
          <w:rFonts w:hint="eastAsia"/>
          <w:color w:val="auto"/>
          <w:highlight w:val="none"/>
        </w:rPr>
        <w:t>次，N=</w:t>
      </w:r>
      <w:r>
        <w:rPr>
          <w:rFonts w:hint="eastAsia"/>
          <w:color w:val="auto"/>
          <w:highlight w:val="none"/>
          <w:lang w:val="en-US" w:eastAsia="zh-CN"/>
        </w:rPr>
        <w:t>14</w:t>
      </w:r>
      <w:r>
        <w:rPr>
          <w:rFonts w:hint="eastAsia"/>
          <w:color w:val="auto"/>
          <w:highlight w:val="none"/>
        </w:rPr>
        <w:t>击～</w:t>
      </w:r>
      <w:r>
        <w:rPr>
          <w:rFonts w:hint="eastAsia"/>
          <w:color w:val="auto"/>
          <w:highlight w:val="none"/>
          <w:lang w:val="en-US" w:eastAsia="zh-CN"/>
        </w:rPr>
        <w:t>18</w:t>
      </w:r>
      <w:r>
        <w:rPr>
          <w:rFonts w:hint="eastAsia"/>
          <w:color w:val="auto"/>
          <w:highlight w:val="none"/>
        </w:rPr>
        <w:t>击，平均值</w:t>
      </w:r>
      <w:r>
        <w:rPr>
          <w:rFonts w:hint="eastAsia"/>
          <w:color w:val="auto"/>
          <w:highlight w:val="none"/>
          <w:lang w:val="en-US" w:eastAsia="zh-CN"/>
        </w:rPr>
        <w:t>15.8</w:t>
      </w:r>
      <w:r>
        <w:rPr>
          <w:rFonts w:hint="eastAsia"/>
          <w:color w:val="auto"/>
          <w:highlight w:val="none"/>
        </w:rPr>
        <w:t>击，</w:t>
      </w:r>
      <w:r>
        <w:rPr>
          <w:rFonts w:hint="eastAsia"/>
          <w:color w:val="auto"/>
          <w:highlight w:val="none"/>
          <w:lang w:val="en-US" w:eastAsia="zh-CN"/>
        </w:rPr>
        <w:t>修正标准</w:t>
      </w:r>
      <w:r>
        <w:rPr>
          <w:rFonts w:hint="eastAsia"/>
          <w:color w:val="auto"/>
          <w:highlight w:val="none"/>
        </w:rPr>
        <w:t>值</w:t>
      </w:r>
      <w:r>
        <w:rPr>
          <w:rFonts w:hint="eastAsia"/>
          <w:color w:val="auto"/>
          <w:highlight w:val="none"/>
          <w:lang w:val="en-US" w:eastAsia="zh-CN"/>
        </w:rPr>
        <w:t>14.50</w:t>
      </w:r>
      <w:r>
        <w:rPr>
          <w:rFonts w:hint="eastAsia"/>
          <w:color w:val="auto"/>
          <w:highlight w:val="none"/>
        </w:rPr>
        <w:t>击。</w:t>
      </w:r>
    </w:p>
    <w:p>
      <w:pPr>
        <w:ind w:firstLine="480"/>
        <w:rPr>
          <w:rFonts w:hint="eastAsia"/>
          <w:color w:val="auto"/>
          <w:highlight w:val="none"/>
        </w:rPr>
      </w:pPr>
      <w:r>
        <w:rPr>
          <w:rFonts w:hint="eastAsia"/>
          <w:color w:val="auto"/>
          <w:highlight w:val="none"/>
        </w:rPr>
        <w:t>(2)  水文地质条件</w:t>
      </w:r>
    </w:p>
    <w:p>
      <w:pPr>
        <w:ind w:firstLine="480"/>
        <w:rPr>
          <w:rFonts w:hint="eastAsia"/>
          <w:color w:val="auto"/>
          <w:highlight w:val="none"/>
        </w:rPr>
      </w:pPr>
      <w:r>
        <w:rPr>
          <w:rFonts w:hint="eastAsia"/>
          <w:color w:val="auto"/>
          <w:highlight w:val="none"/>
        </w:rPr>
        <w:t>地下水类型以孔隙水为主，少量基岩裂隙水，主要受大气降水和地表水下渗补给。</w:t>
      </w:r>
    </w:p>
    <w:p>
      <w:pPr>
        <w:ind w:firstLine="480"/>
        <w:rPr>
          <w:rFonts w:hint="eastAsia"/>
          <w:color w:val="auto"/>
          <w:highlight w:val="none"/>
        </w:rPr>
      </w:pPr>
      <w:r>
        <w:rPr>
          <w:rFonts w:hint="eastAsia"/>
          <w:color w:val="auto"/>
          <w:highlight w:val="none"/>
        </w:rPr>
        <w:t>场地所属区域气候温和，雨量充沛，水系交错纵横，地表水排泄通畅。场址勘探深度内，地下水类型为孔隙水和基岩裂隙水，均属潜水，孔隙水主要赋存于填土、粘土、砂层中，水量丰富，地下水与河水有着密切的水力联系，随河水位变化而变化，年水位变幅2～3m，由河水和大气降水补给；基岩裂隙水埋藏于基岩裂隙中，水量不大，主要受上层地下水下渗补给。</w:t>
      </w:r>
    </w:p>
    <w:p>
      <w:pPr>
        <w:ind w:firstLine="480"/>
        <w:rPr>
          <w:rFonts w:hint="eastAsia"/>
          <w:color w:val="auto"/>
          <w:highlight w:val="none"/>
        </w:rPr>
      </w:pPr>
      <w:r>
        <w:rPr>
          <w:rFonts w:hint="eastAsia"/>
          <w:color w:val="auto"/>
          <w:highlight w:val="none"/>
        </w:rPr>
        <w:t>为检测地下水对建筑材料的腐蚀性，勘察施工期间，水样取2组，对水样分别进行检验分析，结果详见《水质分析报告书》。依据《水利水电工程地质勘察规范》（GB 50487-2008）附表L对水样对砼的腐蚀进行判别、评价，判别情况见下表。</w:t>
      </w:r>
    </w:p>
    <w:p>
      <w:pPr>
        <w:ind w:left="0" w:leftChars="0" w:firstLine="0" w:firstLineChars="0"/>
        <w:jc w:val="center"/>
        <w:rPr>
          <w:rFonts w:hint="eastAsia"/>
          <w:color w:val="auto"/>
          <w:highlight w:val="none"/>
        </w:rPr>
      </w:pPr>
      <w:r>
        <w:rPr>
          <w:rFonts w:hint="eastAsia"/>
          <w:color w:val="auto"/>
          <w:highlight w:val="none"/>
        </w:rPr>
        <w:t>表 3</w:t>
      </w:r>
      <w:r>
        <w:rPr>
          <w:rFonts w:hint="eastAsia"/>
          <w:color w:val="auto"/>
          <w:highlight w:val="none"/>
          <w:lang w:val="en-US" w:eastAsia="zh-CN"/>
        </w:rPr>
        <w:t xml:space="preserve">-3 </w:t>
      </w:r>
      <w:r>
        <w:rPr>
          <w:rFonts w:hint="eastAsia"/>
          <w:color w:val="auto"/>
          <w:highlight w:val="none"/>
        </w:rPr>
        <w:t>（依据《水利水电工程地质勘察规范》评价）</w:t>
      </w:r>
    </w:p>
    <w:tbl>
      <w:tblPr>
        <w:tblStyle w:val="47"/>
        <w:tblW w:w="831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38"/>
        <w:gridCol w:w="1499"/>
        <w:gridCol w:w="716"/>
        <w:gridCol w:w="905"/>
        <w:gridCol w:w="578"/>
        <w:gridCol w:w="581"/>
        <w:gridCol w:w="683"/>
        <w:gridCol w:w="474"/>
        <w:gridCol w:w="604"/>
        <w:gridCol w:w="759"/>
        <w:gridCol w:w="87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9" w:hRule="atLeast"/>
          <w:jc w:val="center"/>
        </w:trPr>
        <w:tc>
          <w:tcPr>
            <w:tcW w:w="638"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取样位置</w:t>
            </w:r>
          </w:p>
        </w:tc>
        <w:tc>
          <w:tcPr>
            <w:tcW w:w="1499"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tabs>
                <w:tab w:val="left" w:pos="916"/>
              </w:tabs>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分</w:t>
            </w:r>
            <w:r>
              <w:rPr>
                <w:color w:val="auto"/>
                <w:sz w:val="18"/>
                <w:szCs w:val="18"/>
                <w:highlight w:val="none"/>
              </w:rPr>
              <w:tab/>
            </w:r>
            <w:r>
              <w:rPr>
                <w:color w:val="auto"/>
                <w:sz w:val="18"/>
                <w:szCs w:val="18"/>
                <w:highlight w:val="none"/>
              </w:rPr>
              <w:t>析</w:t>
            </w:r>
          </w:p>
          <w:p>
            <w:pPr>
              <w:pStyle w:val="431"/>
              <w:keepNext w:val="0"/>
              <w:keepLines w:val="0"/>
              <w:pageBreakBefore w:val="0"/>
              <w:widowControl w:val="0"/>
              <w:tabs>
                <w:tab w:val="left" w:pos="916"/>
              </w:tabs>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项</w:t>
            </w:r>
            <w:r>
              <w:rPr>
                <w:color w:val="auto"/>
                <w:sz w:val="18"/>
                <w:szCs w:val="18"/>
                <w:highlight w:val="none"/>
              </w:rPr>
              <w:tab/>
            </w:r>
            <w:r>
              <w:rPr>
                <w:color w:val="auto"/>
                <w:sz w:val="18"/>
                <w:szCs w:val="18"/>
                <w:highlight w:val="none"/>
              </w:rPr>
              <w:t>目</w:t>
            </w:r>
          </w:p>
        </w:tc>
        <w:tc>
          <w:tcPr>
            <w:tcW w:w="1621" w:type="dxa"/>
            <w:gridSpan w:val="2"/>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tabs>
                <w:tab w:val="left" w:pos="983"/>
              </w:tabs>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指</w:t>
            </w:r>
            <w:r>
              <w:rPr>
                <w:color w:val="auto"/>
                <w:sz w:val="18"/>
                <w:szCs w:val="18"/>
                <w:highlight w:val="none"/>
              </w:rPr>
              <w:tab/>
            </w:r>
            <w:r>
              <w:rPr>
                <w:color w:val="auto"/>
                <w:sz w:val="18"/>
                <w:szCs w:val="18"/>
                <w:highlight w:val="none"/>
              </w:rPr>
              <w:t>标</w:t>
            </w:r>
          </w:p>
        </w:tc>
        <w:tc>
          <w:tcPr>
            <w:tcW w:w="2920" w:type="dxa"/>
            <w:gridSpan w:val="5"/>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水对混凝土的腐蚀性</w:t>
            </w:r>
          </w:p>
        </w:tc>
        <w:tc>
          <w:tcPr>
            <w:tcW w:w="75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pacing w:val="-21"/>
                <w:sz w:val="18"/>
                <w:szCs w:val="18"/>
                <w:highlight w:val="none"/>
              </w:rPr>
              <w:t>水对钢筋砼结构中钢筋的腐</w:t>
            </w: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蚀性</w:t>
            </w:r>
          </w:p>
        </w:tc>
        <w:tc>
          <w:tcPr>
            <w:tcW w:w="879"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水对钢结构的腐蚀性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9" w:hRule="atLeast"/>
          <w:jc w:val="center"/>
        </w:trPr>
        <w:tc>
          <w:tcPr>
            <w:tcW w:w="638"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1499"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716"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单位</w:t>
            </w:r>
          </w:p>
        </w:tc>
        <w:tc>
          <w:tcPr>
            <w:tcW w:w="905"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含量</w:t>
            </w:r>
          </w:p>
        </w:tc>
        <w:tc>
          <w:tcPr>
            <w:tcW w:w="578"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一般酸性型</w:t>
            </w:r>
          </w:p>
        </w:tc>
        <w:tc>
          <w:tcPr>
            <w:tcW w:w="581"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pacing w:val="-7"/>
                <w:sz w:val="18"/>
                <w:szCs w:val="18"/>
                <w:highlight w:val="none"/>
              </w:rPr>
              <w:t>碳酸型</w:t>
            </w:r>
          </w:p>
        </w:tc>
        <w:tc>
          <w:tcPr>
            <w:tcW w:w="683"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重碳酸型</w:t>
            </w:r>
          </w:p>
        </w:tc>
        <w:tc>
          <w:tcPr>
            <w:tcW w:w="47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镁离子型</w:t>
            </w:r>
          </w:p>
        </w:tc>
        <w:tc>
          <w:tcPr>
            <w:tcW w:w="60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硫酸盐型</w:t>
            </w:r>
          </w:p>
        </w:tc>
        <w:tc>
          <w:tcPr>
            <w:tcW w:w="75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干湿交替</w:t>
            </w:r>
          </w:p>
        </w:tc>
        <w:tc>
          <w:tcPr>
            <w:tcW w:w="879"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jc w:val="center"/>
        </w:trPr>
        <w:tc>
          <w:tcPr>
            <w:tcW w:w="638"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地表水</w:t>
            </w:r>
          </w:p>
        </w:tc>
        <w:tc>
          <w:tcPr>
            <w:tcW w:w="149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pH 值</w:t>
            </w:r>
          </w:p>
        </w:tc>
        <w:tc>
          <w:tcPr>
            <w:tcW w:w="716"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905"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eastAsia="宋体"/>
                <w:color w:val="auto"/>
                <w:sz w:val="18"/>
                <w:szCs w:val="18"/>
                <w:highlight w:val="none"/>
                <w:lang w:val="en-US" w:eastAsia="zh-CN"/>
              </w:rPr>
            </w:pPr>
            <w:r>
              <w:rPr>
                <w:rFonts w:hint="eastAsia"/>
                <w:color w:val="auto"/>
                <w:sz w:val="18"/>
                <w:szCs w:val="18"/>
                <w:highlight w:val="none"/>
                <w:lang w:val="en-US" w:eastAsia="zh-CN"/>
              </w:rPr>
              <w:t>6.68</w:t>
            </w:r>
          </w:p>
        </w:tc>
        <w:tc>
          <w:tcPr>
            <w:tcW w:w="578"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无</w:t>
            </w:r>
          </w:p>
        </w:tc>
        <w:tc>
          <w:tcPr>
            <w:tcW w:w="581"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83"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47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60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75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87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638"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149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position w:val="1"/>
                <w:sz w:val="18"/>
                <w:szCs w:val="18"/>
                <w:highlight w:val="none"/>
              </w:rPr>
              <w:t>侵蚀性 CO</w:t>
            </w:r>
            <w:r>
              <w:rPr>
                <w:color w:val="auto"/>
                <w:sz w:val="18"/>
                <w:szCs w:val="18"/>
                <w:highlight w:val="none"/>
              </w:rPr>
              <w:t>2</w:t>
            </w:r>
          </w:p>
        </w:tc>
        <w:tc>
          <w:tcPr>
            <w:tcW w:w="716"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mg/L</w:t>
            </w:r>
          </w:p>
        </w:tc>
        <w:tc>
          <w:tcPr>
            <w:tcW w:w="905"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eastAsia="宋体"/>
                <w:color w:val="auto"/>
                <w:sz w:val="18"/>
                <w:szCs w:val="18"/>
                <w:highlight w:val="none"/>
                <w:lang w:val="en-US" w:eastAsia="zh-CN"/>
              </w:rPr>
            </w:pPr>
            <w:r>
              <w:rPr>
                <w:rFonts w:hint="eastAsia"/>
                <w:color w:val="auto"/>
                <w:sz w:val="18"/>
                <w:szCs w:val="18"/>
                <w:highlight w:val="none"/>
                <w:lang w:val="en-US" w:eastAsia="zh-CN"/>
              </w:rPr>
              <w:t>9.36</w:t>
            </w:r>
          </w:p>
        </w:tc>
        <w:tc>
          <w:tcPr>
            <w:tcW w:w="578"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581"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无</w:t>
            </w:r>
          </w:p>
        </w:tc>
        <w:tc>
          <w:tcPr>
            <w:tcW w:w="683"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47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0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75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87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6" w:hRule="atLeast"/>
          <w:jc w:val="center"/>
        </w:trPr>
        <w:tc>
          <w:tcPr>
            <w:tcW w:w="638"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149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position w:val="1"/>
                <w:sz w:val="18"/>
                <w:szCs w:val="18"/>
                <w:highlight w:val="none"/>
              </w:rPr>
              <w:t>HCO</w:t>
            </w:r>
            <w:r>
              <w:rPr>
                <w:color w:val="auto"/>
                <w:sz w:val="18"/>
                <w:szCs w:val="18"/>
                <w:highlight w:val="none"/>
                <w:vertAlign w:val="subscript"/>
              </w:rPr>
              <w:t>3</w:t>
            </w:r>
            <w:r>
              <w:rPr>
                <w:rFonts w:hint="eastAsia"/>
                <w:color w:val="auto"/>
                <w:sz w:val="18"/>
                <w:szCs w:val="18"/>
                <w:highlight w:val="none"/>
                <w:vertAlign w:val="superscript"/>
                <w:lang w:val="en-US" w:eastAsia="zh-CN"/>
              </w:rPr>
              <w:t>-</w:t>
            </w:r>
          </w:p>
        </w:tc>
        <w:tc>
          <w:tcPr>
            <w:tcW w:w="716"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mmol/L</w:t>
            </w:r>
          </w:p>
        </w:tc>
        <w:tc>
          <w:tcPr>
            <w:tcW w:w="905"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eastAsia="宋体"/>
                <w:color w:val="auto"/>
                <w:sz w:val="18"/>
                <w:szCs w:val="18"/>
                <w:highlight w:val="none"/>
                <w:lang w:val="en-US" w:eastAsia="zh-CN"/>
              </w:rPr>
            </w:pPr>
            <w:r>
              <w:rPr>
                <w:rFonts w:hint="eastAsia"/>
                <w:color w:val="auto"/>
                <w:sz w:val="18"/>
                <w:szCs w:val="18"/>
                <w:highlight w:val="none"/>
                <w:lang w:val="en-US" w:eastAsia="zh-CN"/>
              </w:rPr>
              <w:t>1.213</w:t>
            </w:r>
          </w:p>
        </w:tc>
        <w:tc>
          <w:tcPr>
            <w:tcW w:w="578"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581"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83"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无</w:t>
            </w:r>
          </w:p>
        </w:tc>
        <w:tc>
          <w:tcPr>
            <w:tcW w:w="47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0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75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87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jc w:val="center"/>
        </w:trPr>
        <w:tc>
          <w:tcPr>
            <w:tcW w:w="638"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149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color w:val="auto"/>
                <w:sz w:val="18"/>
                <w:szCs w:val="18"/>
                <w:highlight w:val="none"/>
                <w:lang w:val="en-US" w:eastAsia="zh-CN"/>
              </w:rPr>
            </w:pPr>
            <w:r>
              <w:rPr>
                <w:rFonts w:hint="eastAsia"/>
                <w:color w:val="auto"/>
                <w:sz w:val="18"/>
                <w:szCs w:val="18"/>
                <w:highlight w:val="none"/>
                <w:lang w:val="en-US" w:eastAsia="zh-CN"/>
              </w:rPr>
              <w:t>MG</w:t>
            </w:r>
            <w:r>
              <w:rPr>
                <w:rFonts w:hint="eastAsia"/>
                <w:color w:val="auto"/>
                <w:sz w:val="18"/>
                <w:szCs w:val="18"/>
                <w:highlight w:val="none"/>
                <w:vertAlign w:val="superscript"/>
                <w:lang w:val="en-US" w:eastAsia="zh-CN"/>
              </w:rPr>
              <w:t>2+</w:t>
            </w:r>
          </w:p>
        </w:tc>
        <w:tc>
          <w:tcPr>
            <w:tcW w:w="716"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mg/L</w:t>
            </w:r>
          </w:p>
        </w:tc>
        <w:tc>
          <w:tcPr>
            <w:tcW w:w="905"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eastAsia="宋体"/>
                <w:color w:val="auto"/>
                <w:sz w:val="18"/>
                <w:szCs w:val="18"/>
                <w:highlight w:val="none"/>
                <w:lang w:val="en-US" w:eastAsia="zh-CN"/>
              </w:rPr>
            </w:pPr>
            <w:r>
              <w:rPr>
                <w:rFonts w:hint="eastAsia"/>
                <w:color w:val="auto"/>
                <w:sz w:val="18"/>
                <w:szCs w:val="18"/>
                <w:highlight w:val="none"/>
                <w:lang w:val="en-US" w:eastAsia="zh-CN"/>
              </w:rPr>
              <w:t>4.87</w:t>
            </w:r>
          </w:p>
        </w:tc>
        <w:tc>
          <w:tcPr>
            <w:tcW w:w="578"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581"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83"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47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无</w:t>
            </w:r>
          </w:p>
        </w:tc>
        <w:tc>
          <w:tcPr>
            <w:tcW w:w="60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75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87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jc w:val="center"/>
        </w:trPr>
        <w:tc>
          <w:tcPr>
            <w:tcW w:w="638"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149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position w:val="1"/>
                <w:sz w:val="18"/>
                <w:szCs w:val="18"/>
                <w:highlight w:val="none"/>
              </w:rPr>
              <w:t>SO</w:t>
            </w:r>
            <w:r>
              <w:rPr>
                <w:color w:val="auto"/>
                <w:sz w:val="18"/>
                <w:szCs w:val="18"/>
                <w:highlight w:val="none"/>
              </w:rPr>
              <w:t>4</w:t>
            </w:r>
            <w:r>
              <w:rPr>
                <w:rFonts w:hint="eastAsia"/>
                <w:color w:val="auto"/>
                <w:sz w:val="18"/>
                <w:szCs w:val="18"/>
                <w:highlight w:val="none"/>
                <w:vertAlign w:val="superscript"/>
                <w:lang w:val="en-US" w:eastAsia="zh-CN"/>
              </w:rPr>
              <w:t>2-</w:t>
            </w:r>
          </w:p>
        </w:tc>
        <w:tc>
          <w:tcPr>
            <w:tcW w:w="716"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mg/L</w:t>
            </w:r>
          </w:p>
        </w:tc>
        <w:tc>
          <w:tcPr>
            <w:tcW w:w="905"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eastAsia="宋体"/>
                <w:color w:val="auto"/>
                <w:sz w:val="18"/>
                <w:szCs w:val="18"/>
                <w:highlight w:val="none"/>
                <w:lang w:val="en-US" w:eastAsia="zh-CN"/>
              </w:rPr>
            </w:pPr>
            <w:r>
              <w:rPr>
                <w:rFonts w:hint="eastAsia"/>
                <w:color w:val="auto"/>
                <w:sz w:val="18"/>
                <w:szCs w:val="18"/>
                <w:highlight w:val="none"/>
                <w:lang w:val="en-US" w:eastAsia="zh-CN"/>
              </w:rPr>
              <w:t>14.49</w:t>
            </w:r>
          </w:p>
        </w:tc>
        <w:tc>
          <w:tcPr>
            <w:tcW w:w="578"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581"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83"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47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0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无</w:t>
            </w:r>
          </w:p>
        </w:tc>
        <w:tc>
          <w:tcPr>
            <w:tcW w:w="75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87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638"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149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Cl</w:t>
            </w:r>
            <w:r>
              <w:rPr>
                <w:color w:val="auto"/>
                <w:position w:val="11"/>
                <w:sz w:val="18"/>
                <w:szCs w:val="18"/>
                <w:highlight w:val="none"/>
                <w:vertAlign w:val="superscript"/>
              </w:rPr>
              <w:t>-</w:t>
            </w:r>
            <w:r>
              <w:rPr>
                <w:color w:val="auto"/>
                <w:sz w:val="18"/>
                <w:szCs w:val="18"/>
                <w:highlight w:val="none"/>
              </w:rPr>
              <w:t>+SO</w:t>
            </w:r>
            <w:r>
              <w:rPr>
                <w:rFonts w:hint="eastAsia"/>
                <w:color w:val="auto"/>
                <w:sz w:val="18"/>
                <w:szCs w:val="18"/>
                <w:highlight w:val="none"/>
                <w:vertAlign w:val="subscript"/>
                <w:lang w:val="en-US" w:eastAsia="zh-CN"/>
              </w:rPr>
              <w:t>4</w:t>
            </w:r>
            <w:r>
              <w:rPr>
                <w:color w:val="auto"/>
                <w:sz w:val="18"/>
                <w:szCs w:val="18"/>
                <w:highlight w:val="none"/>
                <w:vertAlign w:val="superscript"/>
              </w:rPr>
              <w:t xml:space="preserve"> </w:t>
            </w:r>
            <w:r>
              <w:rPr>
                <w:color w:val="auto"/>
                <w:position w:val="11"/>
                <w:sz w:val="18"/>
                <w:szCs w:val="18"/>
                <w:highlight w:val="none"/>
                <w:vertAlign w:val="superscript"/>
              </w:rPr>
              <w:t>2-</w:t>
            </w:r>
            <w:r>
              <w:rPr>
                <w:color w:val="auto"/>
                <w:sz w:val="18"/>
                <w:szCs w:val="18"/>
                <w:highlight w:val="none"/>
              </w:rPr>
              <w:t>×0.25</w:t>
            </w:r>
          </w:p>
        </w:tc>
        <w:tc>
          <w:tcPr>
            <w:tcW w:w="716"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mg/L</w:t>
            </w:r>
          </w:p>
        </w:tc>
        <w:tc>
          <w:tcPr>
            <w:tcW w:w="905"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eastAsia="宋体"/>
                <w:color w:val="auto"/>
                <w:sz w:val="18"/>
                <w:szCs w:val="18"/>
                <w:highlight w:val="none"/>
                <w:lang w:val="en-US" w:eastAsia="zh-CN"/>
              </w:rPr>
            </w:pPr>
            <w:r>
              <w:rPr>
                <w:rFonts w:hint="eastAsia"/>
                <w:color w:val="auto"/>
                <w:sz w:val="18"/>
                <w:szCs w:val="18"/>
                <w:highlight w:val="none"/>
                <w:lang w:val="en-US" w:eastAsia="zh-CN"/>
              </w:rPr>
              <w:t>32.64</w:t>
            </w:r>
          </w:p>
        </w:tc>
        <w:tc>
          <w:tcPr>
            <w:tcW w:w="578"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581"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83"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47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60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75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无</w:t>
            </w:r>
          </w:p>
        </w:tc>
        <w:tc>
          <w:tcPr>
            <w:tcW w:w="87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638"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1499"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lang w:val="en-US"/>
              </w:rPr>
              <w:t xml:space="preserve">pH </w:t>
            </w:r>
            <w:r>
              <w:rPr>
                <w:color w:val="auto"/>
                <w:sz w:val="18"/>
                <w:szCs w:val="18"/>
                <w:highlight w:val="none"/>
              </w:rPr>
              <w:t>值和</w:t>
            </w: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lang w:val="en-US"/>
              </w:rPr>
            </w:pPr>
            <w:r>
              <w:rPr>
                <w:color w:val="auto"/>
                <w:sz w:val="18"/>
                <w:szCs w:val="18"/>
                <w:highlight w:val="none"/>
                <w:lang w:val="en-US"/>
              </w:rPr>
              <w:t>(Cl</w:t>
            </w:r>
            <w:r>
              <w:rPr>
                <w:color w:val="auto"/>
                <w:position w:val="11"/>
                <w:sz w:val="18"/>
                <w:szCs w:val="18"/>
                <w:highlight w:val="none"/>
                <w:lang w:val="en-US"/>
              </w:rPr>
              <w:t>-</w:t>
            </w:r>
            <w:r>
              <w:rPr>
                <w:color w:val="auto"/>
                <w:sz w:val="18"/>
                <w:szCs w:val="18"/>
                <w:highlight w:val="none"/>
                <w:lang w:val="en-US"/>
              </w:rPr>
              <w:t>+ SO</w:t>
            </w:r>
            <w:r>
              <w:rPr>
                <w:rFonts w:hint="eastAsia"/>
                <w:color w:val="auto"/>
                <w:sz w:val="18"/>
                <w:szCs w:val="18"/>
                <w:highlight w:val="none"/>
                <w:vertAlign w:val="subscript"/>
                <w:lang w:val="en-US" w:eastAsia="zh-CN"/>
              </w:rPr>
              <w:t>4</w:t>
            </w:r>
            <w:r>
              <w:rPr>
                <w:color w:val="auto"/>
                <w:position w:val="11"/>
                <w:sz w:val="18"/>
                <w:szCs w:val="18"/>
                <w:highlight w:val="none"/>
                <w:lang w:val="en-US"/>
              </w:rPr>
              <w:t>2-</w:t>
            </w:r>
            <w:r>
              <w:rPr>
                <w:color w:val="auto"/>
                <w:sz w:val="18"/>
                <w:szCs w:val="18"/>
                <w:highlight w:val="none"/>
                <w:lang w:val="en-US"/>
              </w:rPr>
              <w:t>)</w:t>
            </w:r>
            <w:r>
              <w:rPr>
                <w:color w:val="auto"/>
                <w:sz w:val="18"/>
                <w:szCs w:val="18"/>
                <w:highlight w:val="none"/>
              </w:rPr>
              <w:t>含量</w:t>
            </w:r>
          </w:p>
        </w:tc>
        <w:tc>
          <w:tcPr>
            <w:tcW w:w="716"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lang w:val="en-US"/>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mg/L</w:t>
            </w:r>
          </w:p>
        </w:tc>
        <w:tc>
          <w:tcPr>
            <w:tcW w:w="905"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eastAsia="宋体"/>
                <w:color w:val="auto"/>
                <w:sz w:val="18"/>
                <w:szCs w:val="18"/>
                <w:highlight w:val="none"/>
                <w:lang w:val="en-US" w:eastAsia="zh-CN"/>
              </w:rPr>
            </w:pPr>
            <w:r>
              <w:rPr>
                <w:rFonts w:hint="eastAsia"/>
                <w:color w:val="auto"/>
                <w:sz w:val="18"/>
                <w:szCs w:val="18"/>
                <w:highlight w:val="none"/>
                <w:lang w:val="en-US" w:eastAsia="zh-CN"/>
              </w:rPr>
              <w:t>6.68</w:t>
            </w:r>
          </w:p>
        </w:tc>
        <w:tc>
          <w:tcPr>
            <w:tcW w:w="578"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581"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83"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474"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604"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759"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879"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弱</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jc w:val="center"/>
        </w:trPr>
        <w:tc>
          <w:tcPr>
            <w:tcW w:w="638"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1499"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716"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905"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eastAsia="宋体"/>
                <w:color w:val="auto"/>
                <w:sz w:val="18"/>
                <w:szCs w:val="18"/>
                <w:highlight w:val="none"/>
                <w:lang w:val="en-US" w:eastAsia="zh-CN"/>
              </w:rPr>
            </w:pPr>
            <w:r>
              <w:rPr>
                <w:rFonts w:hint="eastAsia"/>
                <w:color w:val="auto"/>
                <w:sz w:val="18"/>
                <w:szCs w:val="18"/>
                <w:highlight w:val="none"/>
                <w:lang w:val="en-US" w:eastAsia="zh-CN"/>
              </w:rPr>
              <w:t>43.51</w:t>
            </w:r>
          </w:p>
        </w:tc>
        <w:tc>
          <w:tcPr>
            <w:tcW w:w="578"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581"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683"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474"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604"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759"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879"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jc w:val="center"/>
        </w:trPr>
        <w:tc>
          <w:tcPr>
            <w:tcW w:w="638"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地下水ZK</w:t>
            </w:r>
            <w:r>
              <w:rPr>
                <w:rFonts w:hint="eastAsia"/>
                <w:color w:val="auto"/>
                <w:sz w:val="18"/>
                <w:szCs w:val="18"/>
                <w:highlight w:val="none"/>
              </w:rPr>
              <w:t>2</w:t>
            </w:r>
          </w:p>
        </w:tc>
        <w:tc>
          <w:tcPr>
            <w:tcW w:w="149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pH 值</w:t>
            </w:r>
          </w:p>
        </w:tc>
        <w:tc>
          <w:tcPr>
            <w:tcW w:w="716"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905"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rFonts w:hint="eastAsia"/>
                <w:color w:val="auto"/>
                <w:sz w:val="18"/>
                <w:szCs w:val="18"/>
                <w:highlight w:val="none"/>
              </w:rPr>
              <w:t>6.71</w:t>
            </w:r>
          </w:p>
        </w:tc>
        <w:tc>
          <w:tcPr>
            <w:tcW w:w="578"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无</w:t>
            </w:r>
          </w:p>
        </w:tc>
        <w:tc>
          <w:tcPr>
            <w:tcW w:w="581"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83"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47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60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75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87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jc w:val="center"/>
        </w:trPr>
        <w:tc>
          <w:tcPr>
            <w:tcW w:w="638"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149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position w:val="1"/>
                <w:sz w:val="18"/>
                <w:szCs w:val="18"/>
                <w:highlight w:val="none"/>
              </w:rPr>
              <w:t>侵蚀性 CO</w:t>
            </w:r>
            <w:r>
              <w:rPr>
                <w:color w:val="auto"/>
                <w:sz w:val="18"/>
                <w:szCs w:val="18"/>
                <w:highlight w:val="none"/>
              </w:rPr>
              <w:t>2</w:t>
            </w:r>
          </w:p>
        </w:tc>
        <w:tc>
          <w:tcPr>
            <w:tcW w:w="716"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mg/L</w:t>
            </w:r>
          </w:p>
        </w:tc>
        <w:tc>
          <w:tcPr>
            <w:tcW w:w="905"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eastAsia="宋体"/>
                <w:color w:val="auto"/>
                <w:sz w:val="18"/>
                <w:szCs w:val="18"/>
                <w:highlight w:val="none"/>
                <w:lang w:val="en-US" w:eastAsia="zh-CN"/>
              </w:rPr>
            </w:pPr>
            <w:r>
              <w:rPr>
                <w:rFonts w:hint="eastAsia"/>
                <w:color w:val="auto"/>
                <w:sz w:val="18"/>
                <w:szCs w:val="18"/>
                <w:highlight w:val="none"/>
                <w:lang w:val="en-US" w:eastAsia="zh-CN"/>
              </w:rPr>
              <w:t>10.65</w:t>
            </w:r>
          </w:p>
        </w:tc>
        <w:tc>
          <w:tcPr>
            <w:tcW w:w="578"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581"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无</w:t>
            </w:r>
          </w:p>
        </w:tc>
        <w:tc>
          <w:tcPr>
            <w:tcW w:w="683"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47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0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75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87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jc w:val="center"/>
        </w:trPr>
        <w:tc>
          <w:tcPr>
            <w:tcW w:w="638"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149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position w:val="1"/>
                <w:sz w:val="18"/>
                <w:szCs w:val="18"/>
                <w:highlight w:val="none"/>
              </w:rPr>
              <w:t>HCO</w:t>
            </w:r>
            <w:r>
              <w:rPr>
                <w:color w:val="auto"/>
                <w:sz w:val="18"/>
                <w:szCs w:val="18"/>
                <w:highlight w:val="none"/>
              </w:rPr>
              <w:t>3</w:t>
            </w:r>
            <w:r>
              <w:rPr>
                <w:rFonts w:hint="eastAsia"/>
                <w:color w:val="auto"/>
                <w:sz w:val="18"/>
                <w:szCs w:val="18"/>
                <w:highlight w:val="none"/>
                <w:vertAlign w:val="superscript"/>
                <w:lang w:val="en-US" w:eastAsia="zh-CN"/>
              </w:rPr>
              <w:t>-</w:t>
            </w:r>
          </w:p>
        </w:tc>
        <w:tc>
          <w:tcPr>
            <w:tcW w:w="716"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mmol/L</w:t>
            </w:r>
          </w:p>
        </w:tc>
        <w:tc>
          <w:tcPr>
            <w:tcW w:w="905"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eastAsia="宋体"/>
                <w:color w:val="auto"/>
                <w:sz w:val="18"/>
                <w:szCs w:val="18"/>
                <w:highlight w:val="none"/>
                <w:lang w:val="en-US" w:eastAsia="zh-CN"/>
              </w:rPr>
            </w:pPr>
            <w:r>
              <w:rPr>
                <w:rFonts w:hint="eastAsia"/>
                <w:color w:val="auto"/>
                <w:sz w:val="18"/>
                <w:szCs w:val="18"/>
                <w:highlight w:val="none"/>
                <w:lang w:val="en-US" w:eastAsia="zh-CN"/>
              </w:rPr>
              <w:t>1.144</w:t>
            </w:r>
          </w:p>
        </w:tc>
        <w:tc>
          <w:tcPr>
            <w:tcW w:w="578"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581"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83"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无</w:t>
            </w:r>
          </w:p>
        </w:tc>
        <w:tc>
          <w:tcPr>
            <w:tcW w:w="47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0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75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87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jc w:val="center"/>
        </w:trPr>
        <w:tc>
          <w:tcPr>
            <w:tcW w:w="638"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149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position w:val="-10"/>
                <w:sz w:val="18"/>
                <w:szCs w:val="18"/>
                <w:highlight w:val="none"/>
              </w:rPr>
              <w:t>Mg</w:t>
            </w:r>
            <w:r>
              <w:rPr>
                <w:color w:val="auto"/>
                <w:sz w:val="18"/>
                <w:szCs w:val="18"/>
                <w:highlight w:val="none"/>
              </w:rPr>
              <w:t>2+</w:t>
            </w:r>
          </w:p>
        </w:tc>
        <w:tc>
          <w:tcPr>
            <w:tcW w:w="716"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mg/L</w:t>
            </w:r>
          </w:p>
        </w:tc>
        <w:tc>
          <w:tcPr>
            <w:tcW w:w="905"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eastAsia="宋体"/>
                <w:color w:val="auto"/>
                <w:sz w:val="18"/>
                <w:szCs w:val="18"/>
                <w:highlight w:val="none"/>
                <w:lang w:val="en-US" w:eastAsia="zh-CN"/>
              </w:rPr>
            </w:pPr>
            <w:r>
              <w:rPr>
                <w:rFonts w:hint="eastAsia"/>
                <w:color w:val="auto"/>
                <w:sz w:val="18"/>
                <w:szCs w:val="18"/>
                <w:highlight w:val="none"/>
                <w:lang w:val="en-US" w:eastAsia="zh-CN"/>
              </w:rPr>
              <w:t>4.56</w:t>
            </w:r>
          </w:p>
        </w:tc>
        <w:tc>
          <w:tcPr>
            <w:tcW w:w="578"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581"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83"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47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无</w:t>
            </w:r>
          </w:p>
        </w:tc>
        <w:tc>
          <w:tcPr>
            <w:tcW w:w="60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75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87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jc w:val="center"/>
        </w:trPr>
        <w:tc>
          <w:tcPr>
            <w:tcW w:w="638"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149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position w:val="-10"/>
                <w:sz w:val="18"/>
                <w:szCs w:val="18"/>
                <w:highlight w:val="none"/>
              </w:rPr>
              <w:t>SO</w:t>
            </w:r>
            <w:r>
              <w:rPr>
                <w:rFonts w:hint="eastAsia"/>
                <w:color w:val="auto"/>
                <w:position w:val="-10"/>
                <w:sz w:val="18"/>
                <w:szCs w:val="18"/>
                <w:highlight w:val="none"/>
                <w:vertAlign w:val="subscript"/>
                <w:lang w:val="en-US" w:eastAsia="zh-CN"/>
              </w:rPr>
              <w:t>4</w:t>
            </w:r>
            <w:r>
              <w:rPr>
                <w:color w:val="auto"/>
                <w:sz w:val="18"/>
                <w:szCs w:val="18"/>
                <w:highlight w:val="none"/>
              </w:rPr>
              <w:t>2-</w:t>
            </w:r>
          </w:p>
        </w:tc>
        <w:tc>
          <w:tcPr>
            <w:tcW w:w="716"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mg/L</w:t>
            </w:r>
          </w:p>
        </w:tc>
        <w:tc>
          <w:tcPr>
            <w:tcW w:w="905"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eastAsia="宋体"/>
                <w:color w:val="auto"/>
                <w:sz w:val="18"/>
                <w:szCs w:val="18"/>
                <w:highlight w:val="none"/>
                <w:lang w:val="en-US" w:eastAsia="zh-CN"/>
              </w:rPr>
            </w:pPr>
            <w:r>
              <w:rPr>
                <w:rFonts w:hint="eastAsia"/>
                <w:color w:val="auto"/>
                <w:sz w:val="18"/>
                <w:szCs w:val="18"/>
                <w:highlight w:val="none"/>
                <w:lang w:val="en-US" w:eastAsia="zh-CN"/>
              </w:rPr>
              <w:t>11.02</w:t>
            </w:r>
          </w:p>
        </w:tc>
        <w:tc>
          <w:tcPr>
            <w:tcW w:w="578"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581"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83"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47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0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无</w:t>
            </w:r>
          </w:p>
        </w:tc>
        <w:tc>
          <w:tcPr>
            <w:tcW w:w="75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87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jc w:val="center"/>
        </w:trPr>
        <w:tc>
          <w:tcPr>
            <w:tcW w:w="638"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149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Cl</w:t>
            </w:r>
            <w:r>
              <w:rPr>
                <w:color w:val="auto"/>
                <w:position w:val="11"/>
                <w:sz w:val="18"/>
                <w:szCs w:val="18"/>
                <w:highlight w:val="none"/>
              </w:rPr>
              <w:t>-</w:t>
            </w:r>
            <w:r>
              <w:rPr>
                <w:color w:val="auto"/>
                <w:sz w:val="18"/>
                <w:szCs w:val="18"/>
                <w:highlight w:val="none"/>
              </w:rPr>
              <w:t>+SO</w:t>
            </w:r>
            <w:r>
              <w:rPr>
                <w:rFonts w:hint="eastAsia"/>
                <w:color w:val="auto"/>
                <w:sz w:val="18"/>
                <w:szCs w:val="18"/>
                <w:highlight w:val="none"/>
                <w:vertAlign w:val="subscript"/>
                <w:lang w:val="en-US" w:eastAsia="zh-CN"/>
              </w:rPr>
              <w:t>4</w:t>
            </w:r>
            <w:r>
              <w:rPr>
                <w:color w:val="auto"/>
                <w:sz w:val="18"/>
                <w:szCs w:val="18"/>
                <w:highlight w:val="none"/>
              </w:rPr>
              <w:t xml:space="preserve"> </w:t>
            </w:r>
            <w:r>
              <w:rPr>
                <w:color w:val="auto"/>
                <w:position w:val="11"/>
                <w:sz w:val="18"/>
                <w:szCs w:val="18"/>
                <w:highlight w:val="none"/>
              </w:rPr>
              <w:t>2-</w:t>
            </w:r>
            <w:r>
              <w:rPr>
                <w:color w:val="auto"/>
                <w:sz w:val="18"/>
                <w:szCs w:val="18"/>
                <w:highlight w:val="none"/>
              </w:rPr>
              <w:t>×0.25</w:t>
            </w:r>
          </w:p>
        </w:tc>
        <w:tc>
          <w:tcPr>
            <w:tcW w:w="716"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mg/L</w:t>
            </w:r>
          </w:p>
        </w:tc>
        <w:tc>
          <w:tcPr>
            <w:tcW w:w="905"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eastAsia="宋体"/>
                <w:color w:val="auto"/>
                <w:sz w:val="18"/>
                <w:szCs w:val="18"/>
                <w:highlight w:val="none"/>
                <w:lang w:val="en-US" w:eastAsia="zh-CN"/>
              </w:rPr>
            </w:pPr>
            <w:r>
              <w:rPr>
                <w:rFonts w:hint="eastAsia"/>
                <w:color w:val="auto"/>
                <w:sz w:val="18"/>
                <w:szCs w:val="18"/>
                <w:highlight w:val="none"/>
                <w:lang w:val="en-US" w:eastAsia="zh-CN"/>
              </w:rPr>
              <w:t>28.36</w:t>
            </w:r>
          </w:p>
        </w:tc>
        <w:tc>
          <w:tcPr>
            <w:tcW w:w="578"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581"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83"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47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604"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75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无</w:t>
            </w:r>
          </w:p>
        </w:tc>
        <w:tc>
          <w:tcPr>
            <w:tcW w:w="879"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jc w:val="center"/>
        </w:trPr>
        <w:tc>
          <w:tcPr>
            <w:tcW w:w="638"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1499"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lang w:val="en-US"/>
              </w:rPr>
              <w:t xml:space="preserve">pH </w:t>
            </w:r>
            <w:r>
              <w:rPr>
                <w:color w:val="auto"/>
                <w:sz w:val="18"/>
                <w:szCs w:val="18"/>
                <w:highlight w:val="none"/>
              </w:rPr>
              <w:t>值和</w:t>
            </w: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lang w:val="en-US"/>
              </w:rPr>
            </w:pPr>
            <w:r>
              <w:rPr>
                <w:color w:val="auto"/>
                <w:sz w:val="18"/>
                <w:szCs w:val="18"/>
                <w:highlight w:val="none"/>
                <w:lang w:val="en-US"/>
              </w:rPr>
              <w:t>(Cl</w:t>
            </w:r>
            <w:r>
              <w:rPr>
                <w:color w:val="auto"/>
                <w:position w:val="11"/>
                <w:sz w:val="18"/>
                <w:szCs w:val="18"/>
                <w:highlight w:val="none"/>
                <w:lang w:val="en-US"/>
              </w:rPr>
              <w:t>-</w:t>
            </w:r>
            <w:r>
              <w:rPr>
                <w:color w:val="auto"/>
                <w:sz w:val="18"/>
                <w:szCs w:val="18"/>
                <w:highlight w:val="none"/>
                <w:lang w:val="en-US"/>
              </w:rPr>
              <w:t>+ SO</w:t>
            </w:r>
            <w:r>
              <w:rPr>
                <w:rFonts w:hint="eastAsia"/>
                <w:color w:val="auto"/>
                <w:sz w:val="18"/>
                <w:szCs w:val="18"/>
                <w:highlight w:val="none"/>
                <w:vertAlign w:val="subscript"/>
                <w:lang w:val="en-US" w:eastAsia="zh-CN"/>
              </w:rPr>
              <w:t>4</w:t>
            </w:r>
            <w:r>
              <w:rPr>
                <w:color w:val="auto"/>
                <w:position w:val="11"/>
                <w:sz w:val="18"/>
                <w:szCs w:val="18"/>
                <w:highlight w:val="none"/>
                <w:lang w:val="en-US"/>
              </w:rPr>
              <w:t>2-</w:t>
            </w:r>
            <w:r>
              <w:rPr>
                <w:color w:val="auto"/>
                <w:sz w:val="18"/>
                <w:szCs w:val="18"/>
                <w:highlight w:val="none"/>
                <w:lang w:val="en-US"/>
              </w:rPr>
              <w:t>)</w:t>
            </w:r>
            <w:r>
              <w:rPr>
                <w:color w:val="auto"/>
                <w:sz w:val="18"/>
                <w:szCs w:val="18"/>
                <w:highlight w:val="none"/>
              </w:rPr>
              <w:t>含量</w:t>
            </w:r>
          </w:p>
        </w:tc>
        <w:tc>
          <w:tcPr>
            <w:tcW w:w="716"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lang w:val="en-US"/>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mg/l</w:t>
            </w:r>
          </w:p>
        </w:tc>
        <w:tc>
          <w:tcPr>
            <w:tcW w:w="905"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eastAsia="宋体"/>
                <w:color w:val="auto"/>
                <w:sz w:val="18"/>
                <w:szCs w:val="18"/>
                <w:highlight w:val="none"/>
                <w:lang w:val="en-US" w:eastAsia="zh-CN"/>
              </w:rPr>
            </w:pPr>
            <w:r>
              <w:rPr>
                <w:rFonts w:hint="eastAsia"/>
                <w:color w:val="auto"/>
                <w:sz w:val="18"/>
                <w:szCs w:val="18"/>
                <w:highlight w:val="none"/>
                <w:lang w:val="en-US" w:eastAsia="zh-CN"/>
              </w:rPr>
              <w:t>6.71</w:t>
            </w:r>
          </w:p>
        </w:tc>
        <w:tc>
          <w:tcPr>
            <w:tcW w:w="578"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581"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Times New Roman"/>
                <w:color w:val="auto"/>
                <w:sz w:val="18"/>
                <w:szCs w:val="18"/>
                <w:highlight w:val="none"/>
              </w:rPr>
            </w:pPr>
          </w:p>
        </w:tc>
        <w:tc>
          <w:tcPr>
            <w:tcW w:w="683"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474"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604"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759"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w:t>
            </w:r>
          </w:p>
        </w:tc>
        <w:tc>
          <w:tcPr>
            <w:tcW w:w="879" w:type="dxa"/>
            <w:vMerge w:val="restart"/>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p>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color w:val="auto"/>
                <w:sz w:val="18"/>
                <w:szCs w:val="18"/>
                <w:highlight w:val="none"/>
              </w:rPr>
            </w:pPr>
            <w:r>
              <w:rPr>
                <w:color w:val="auto"/>
                <w:sz w:val="18"/>
                <w:szCs w:val="18"/>
                <w:highlight w:val="none"/>
              </w:rPr>
              <w:t>弱</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jc w:val="center"/>
        </w:trPr>
        <w:tc>
          <w:tcPr>
            <w:tcW w:w="638"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1499"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716"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905" w:type="dxa"/>
            <w:vAlign w:val="center"/>
          </w:tcPr>
          <w:p>
            <w:pPr>
              <w:pStyle w:val="431"/>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eastAsia="宋体"/>
                <w:color w:val="auto"/>
                <w:sz w:val="18"/>
                <w:szCs w:val="18"/>
                <w:highlight w:val="none"/>
                <w:lang w:val="en-US" w:eastAsia="zh-CN"/>
              </w:rPr>
            </w:pPr>
            <w:r>
              <w:rPr>
                <w:rFonts w:hint="eastAsia"/>
                <w:color w:val="auto"/>
                <w:sz w:val="18"/>
                <w:szCs w:val="18"/>
                <w:highlight w:val="none"/>
                <w:lang w:val="en-US" w:eastAsia="zh-CN"/>
              </w:rPr>
              <w:t>36.63</w:t>
            </w:r>
          </w:p>
        </w:tc>
        <w:tc>
          <w:tcPr>
            <w:tcW w:w="578"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581"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683"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474"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604"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759"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c>
          <w:tcPr>
            <w:tcW w:w="879" w:type="dxa"/>
            <w:vMerge w:val="continue"/>
            <w:tcBorders>
              <w:top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ascii="Calibri" w:hAnsi="Calibri"/>
                <w:color w:val="auto"/>
                <w:sz w:val="18"/>
                <w:szCs w:val="18"/>
                <w:highlight w:val="none"/>
              </w:rPr>
            </w:pPr>
          </w:p>
        </w:tc>
      </w:tr>
    </w:tbl>
    <w:p>
      <w:pPr>
        <w:ind w:firstLine="480"/>
        <w:rPr>
          <w:rFonts w:hint="eastAsia"/>
          <w:color w:val="auto"/>
          <w:highlight w:val="none"/>
        </w:rPr>
      </w:pPr>
      <w:r>
        <w:rPr>
          <w:rFonts w:hint="eastAsia"/>
          <w:color w:val="auto"/>
          <w:highlight w:val="none"/>
        </w:rPr>
        <w:t>从上表可看出，区域地下水对混凝土无腐蚀性，对钢结构存在弱腐蚀性。</w:t>
      </w:r>
    </w:p>
    <w:p>
      <w:pPr>
        <w:ind w:firstLine="480"/>
        <w:rPr>
          <w:rFonts w:hint="eastAsia"/>
          <w:color w:val="auto"/>
          <w:highlight w:val="none"/>
        </w:rPr>
      </w:pPr>
      <w:r>
        <w:rPr>
          <w:rFonts w:hint="eastAsia"/>
          <w:color w:val="auto"/>
          <w:highlight w:val="none"/>
        </w:rPr>
        <w:t>(3)岩土物理力学性质</w:t>
      </w:r>
    </w:p>
    <w:p>
      <w:pPr>
        <w:ind w:firstLine="480"/>
        <w:rPr>
          <w:rFonts w:hint="eastAsia"/>
          <w:color w:val="auto"/>
          <w:highlight w:val="none"/>
        </w:rPr>
      </w:pPr>
      <w:bookmarkStart w:id="201" w:name="_Toc344211463"/>
      <w:bookmarkStart w:id="202" w:name="_Toc340741596"/>
      <w:r>
        <w:rPr>
          <w:rFonts w:hint="eastAsia"/>
          <w:color w:val="auto"/>
          <w:highlight w:val="none"/>
        </w:rPr>
        <w:t>在堤防土层中取样进行室内试验，同时进行现场标准贯入试验试验。共取土样</w:t>
      </w:r>
      <w:r>
        <w:rPr>
          <w:rFonts w:hint="eastAsia"/>
          <w:color w:val="auto"/>
          <w:highlight w:val="none"/>
          <w:lang w:val="en-US" w:eastAsia="zh-CN"/>
        </w:rPr>
        <w:t>8</w:t>
      </w:r>
      <w:r>
        <w:rPr>
          <w:rFonts w:hint="eastAsia"/>
          <w:color w:val="auto"/>
          <w:highlight w:val="none"/>
        </w:rPr>
        <w:t>组，标准贯入试验共</w:t>
      </w:r>
      <w:r>
        <w:rPr>
          <w:rFonts w:hint="eastAsia"/>
          <w:color w:val="auto"/>
          <w:highlight w:val="none"/>
          <w:lang w:val="en-US" w:eastAsia="zh-CN"/>
        </w:rPr>
        <w:t>12</w:t>
      </w:r>
      <w:r>
        <w:rPr>
          <w:rFonts w:hint="eastAsia"/>
          <w:color w:val="auto"/>
          <w:highlight w:val="none"/>
        </w:rPr>
        <w:t>次，土的物理力学试验成果见附表，标贯试验成果见附表。根据土工试验成果汇总表，堤基土层的物理力学指标建议值见下表。</w:t>
      </w:r>
    </w:p>
    <w:p>
      <w:pPr>
        <w:ind w:firstLine="480"/>
        <w:rPr>
          <w:rFonts w:hint="eastAsia"/>
          <w:color w:val="auto"/>
          <w:highlight w:val="none"/>
        </w:rPr>
      </w:pPr>
      <w:r>
        <w:rPr>
          <w:rFonts w:hint="eastAsia"/>
          <w:color w:val="auto"/>
          <w:highlight w:val="none"/>
          <w:lang w:val="en-US" w:eastAsia="zh-CN"/>
        </w:rPr>
        <w:t>人工填土</w:t>
      </w:r>
      <w:r>
        <w:rPr>
          <w:rFonts w:hint="eastAsia"/>
          <w:color w:val="auto"/>
          <w:highlight w:val="none"/>
        </w:rPr>
        <w:t>的抗冲流速为0.</w:t>
      </w:r>
      <w:r>
        <w:rPr>
          <w:rFonts w:hint="eastAsia"/>
          <w:color w:val="auto"/>
          <w:highlight w:val="none"/>
          <w:lang w:val="en-US" w:eastAsia="zh-CN"/>
        </w:rPr>
        <w:t>42</w:t>
      </w:r>
      <w:r>
        <w:rPr>
          <w:rFonts w:hint="eastAsia"/>
          <w:color w:val="auto"/>
          <w:highlight w:val="none"/>
        </w:rPr>
        <w:t>～0.</w:t>
      </w:r>
      <w:r>
        <w:rPr>
          <w:rFonts w:hint="eastAsia"/>
          <w:color w:val="auto"/>
          <w:highlight w:val="none"/>
          <w:lang w:val="en-US" w:eastAsia="zh-CN"/>
        </w:rPr>
        <w:t>51</w:t>
      </w:r>
      <w:r>
        <w:rPr>
          <w:rFonts w:hint="eastAsia"/>
          <w:color w:val="auto"/>
          <w:highlight w:val="none"/>
        </w:rPr>
        <w:t>m/s，地基承载力：</w:t>
      </w:r>
      <w:r>
        <w:rPr>
          <w:rFonts w:hint="eastAsia"/>
          <w:color w:val="auto"/>
          <w:highlight w:val="none"/>
          <w:lang w:val="en-US" w:eastAsia="zh-CN"/>
        </w:rPr>
        <w:t>60</w:t>
      </w:r>
      <w:r>
        <w:rPr>
          <w:rFonts w:hint="eastAsia"/>
          <w:color w:val="auto"/>
          <w:highlight w:val="none"/>
        </w:rPr>
        <w:t>～</w:t>
      </w:r>
      <w:r>
        <w:rPr>
          <w:rFonts w:hint="eastAsia"/>
          <w:color w:val="auto"/>
          <w:highlight w:val="none"/>
          <w:lang w:val="en-US" w:eastAsia="zh-CN"/>
        </w:rPr>
        <w:t>8</w:t>
      </w:r>
      <w:r>
        <w:rPr>
          <w:rFonts w:hint="eastAsia"/>
          <w:color w:val="auto"/>
          <w:highlight w:val="none"/>
        </w:rPr>
        <w:t>0KPa。粉质粘土的抗冲流速为0.6～0.9m/s，地基承载力：100～120KPa；</w:t>
      </w:r>
    </w:p>
    <w:p>
      <w:pPr>
        <w:ind w:left="0" w:leftChars="0" w:firstLine="0" w:firstLineChars="0"/>
        <w:jc w:val="center"/>
        <w:rPr>
          <w:rFonts w:hint="eastAsia"/>
          <w:color w:val="auto"/>
          <w:highlight w:val="none"/>
        </w:rPr>
      </w:pPr>
      <w:r>
        <w:rPr>
          <w:rFonts w:hint="eastAsia"/>
          <w:color w:val="auto"/>
          <w:highlight w:val="none"/>
        </w:rPr>
        <w:t>表3</w:t>
      </w:r>
      <w:r>
        <w:rPr>
          <w:rFonts w:hint="eastAsia"/>
          <w:color w:val="auto"/>
          <w:highlight w:val="none"/>
          <w:lang w:val="en-US" w:eastAsia="zh-CN"/>
        </w:rPr>
        <w:t>-4</w:t>
      </w:r>
      <w:r>
        <w:rPr>
          <w:rFonts w:hint="eastAsia"/>
          <w:color w:val="auto"/>
          <w:highlight w:val="none"/>
        </w:rPr>
        <w:t xml:space="preserve"> 堤防各岩土层边坡建议值</w:t>
      </w:r>
    </w:p>
    <w:tbl>
      <w:tblPr>
        <w:tblStyle w:val="47"/>
        <w:tblpPr w:leftFromText="180" w:rightFromText="180" w:vertAnchor="text" w:tblpXSpec="center" w:tblpY="1"/>
        <w:tblOverlap w:val="never"/>
        <w:tblW w:w="88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49"/>
        <w:gridCol w:w="1471"/>
        <w:gridCol w:w="1824"/>
        <w:gridCol w:w="1307"/>
        <w:gridCol w:w="1194"/>
        <w:gridCol w:w="1192"/>
        <w:gridCol w:w="1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 w:hRule="atLeast"/>
        </w:trPr>
        <w:tc>
          <w:tcPr>
            <w:tcW w:w="649" w:type="dxa"/>
            <w:vMerge w:val="restart"/>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层号</w:t>
            </w:r>
          </w:p>
        </w:tc>
        <w:tc>
          <w:tcPr>
            <w:tcW w:w="1471" w:type="dxa"/>
            <w:vMerge w:val="restart"/>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岩土名称</w:t>
            </w:r>
          </w:p>
        </w:tc>
        <w:tc>
          <w:tcPr>
            <w:tcW w:w="1824" w:type="dxa"/>
            <w:vMerge w:val="restart"/>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状态</w:t>
            </w:r>
          </w:p>
        </w:tc>
        <w:tc>
          <w:tcPr>
            <w:tcW w:w="2501" w:type="dxa"/>
            <w:gridSpan w:val="2"/>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临时开挖边坡比</w:t>
            </w:r>
          </w:p>
        </w:tc>
        <w:tc>
          <w:tcPr>
            <w:tcW w:w="2384" w:type="dxa"/>
            <w:gridSpan w:val="2"/>
            <w:tcMar>
              <w:top w:w="15" w:type="dxa"/>
              <w:left w:w="15" w:type="dxa"/>
              <w:bottom w:w="0" w:type="dxa"/>
              <w:right w:w="15" w:type="dxa"/>
            </w:tcMar>
            <w:vAlign w:val="center"/>
          </w:tcPr>
          <w:p>
            <w:pPr>
              <w:pStyle w:val="432"/>
              <w:rPr>
                <w:color w:val="auto"/>
                <w:highlight w:val="none"/>
                <w:lang w:eastAsia="zh-CN"/>
              </w:rPr>
            </w:pPr>
            <w:r>
              <w:rPr>
                <w:rFonts w:ascii="宋体" w:hAnsi="宋体" w:eastAsia="宋体" w:cs="宋体"/>
                <w:color w:val="auto"/>
                <w:kern w:val="0"/>
                <w:sz w:val="18"/>
                <w:szCs w:val="18"/>
                <w:highlight w:val="none"/>
                <w:lang w:val="zh-CN" w:eastAsia="zh-CN" w:bidi="zh-CN"/>
              </w:rPr>
              <w:t>永久开挖边坡比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 w:hRule="atLeast"/>
        </w:trPr>
        <w:tc>
          <w:tcPr>
            <w:tcW w:w="649" w:type="dxa"/>
            <w:vMerge w:val="continue"/>
            <w:vAlign w:val="center"/>
          </w:tcPr>
          <w:p>
            <w:pPr>
              <w:pStyle w:val="432"/>
              <w:rPr>
                <w:rFonts w:ascii="宋体" w:hAnsi="宋体" w:eastAsia="宋体" w:cs="宋体"/>
                <w:color w:val="auto"/>
                <w:kern w:val="0"/>
                <w:sz w:val="18"/>
                <w:szCs w:val="18"/>
                <w:highlight w:val="none"/>
                <w:lang w:val="zh-CN" w:eastAsia="zh-CN" w:bidi="zh-CN"/>
              </w:rPr>
            </w:pPr>
          </w:p>
        </w:tc>
        <w:tc>
          <w:tcPr>
            <w:tcW w:w="1471" w:type="dxa"/>
            <w:vMerge w:val="continue"/>
            <w:vAlign w:val="center"/>
          </w:tcPr>
          <w:p>
            <w:pPr>
              <w:pStyle w:val="432"/>
              <w:rPr>
                <w:rFonts w:ascii="宋体" w:hAnsi="宋体" w:eastAsia="宋体" w:cs="宋体"/>
                <w:color w:val="auto"/>
                <w:kern w:val="0"/>
                <w:sz w:val="18"/>
                <w:szCs w:val="18"/>
                <w:highlight w:val="none"/>
                <w:lang w:val="zh-CN" w:eastAsia="zh-CN" w:bidi="zh-CN"/>
              </w:rPr>
            </w:pPr>
          </w:p>
        </w:tc>
        <w:tc>
          <w:tcPr>
            <w:tcW w:w="1824" w:type="dxa"/>
            <w:vMerge w:val="continue"/>
            <w:vAlign w:val="center"/>
          </w:tcPr>
          <w:p>
            <w:pPr>
              <w:pStyle w:val="432"/>
              <w:rPr>
                <w:rFonts w:ascii="宋体" w:hAnsi="宋体" w:eastAsia="宋体" w:cs="宋体"/>
                <w:color w:val="auto"/>
                <w:kern w:val="0"/>
                <w:sz w:val="18"/>
                <w:szCs w:val="18"/>
                <w:highlight w:val="none"/>
                <w:lang w:val="zh-CN" w:eastAsia="zh-CN" w:bidi="zh-CN"/>
              </w:rPr>
            </w:pPr>
          </w:p>
        </w:tc>
        <w:tc>
          <w:tcPr>
            <w:tcW w:w="1307" w:type="dxa"/>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水上</w:t>
            </w:r>
          </w:p>
        </w:tc>
        <w:tc>
          <w:tcPr>
            <w:tcW w:w="1194" w:type="dxa"/>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水下</w:t>
            </w:r>
          </w:p>
        </w:tc>
        <w:tc>
          <w:tcPr>
            <w:tcW w:w="1192" w:type="dxa"/>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水上</w:t>
            </w:r>
          </w:p>
        </w:tc>
        <w:tc>
          <w:tcPr>
            <w:tcW w:w="1192" w:type="dxa"/>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水下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 w:hRule="atLeast"/>
        </w:trPr>
        <w:tc>
          <w:tcPr>
            <w:tcW w:w="649" w:type="dxa"/>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fldChar w:fldCharType="begin"/>
            </w:r>
            <w:r>
              <w:rPr>
                <w:rFonts w:ascii="宋体" w:hAnsi="宋体" w:eastAsia="宋体" w:cs="宋体"/>
                <w:color w:val="auto"/>
                <w:kern w:val="0"/>
                <w:sz w:val="18"/>
                <w:szCs w:val="18"/>
                <w:highlight w:val="none"/>
                <w:lang w:val="zh-CN" w:eastAsia="zh-CN" w:bidi="zh-CN"/>
              </w:rPr>
              <w:instrText xml:space="preserve"> </w:instrText>
            </w:r>
            <w:r>
              <w:rPr>
                <w:rFonts w:hint="eastAsia" w:ascii="宋体" w:hAnsi="宋体" w:eastAsia="宋体" w:cs="宋体"/>
                <w:color w:val="auto"/>
                <w:kern w:val="0"/>
                <w:sz w:val="18"/>
                <w:szCs w:val="18"/>
                <w:highlight w:val="none"/>
                <w:lang w:val="zh-CN" w:eastAsia="zh-CN" w:bidi="zh-CN"/>
              </w:rPr>
              <w:instrText xml:space="preserve">= 1 \* GB3</w:instrText>
            </w:r>
            <w:r>
              <w:rPr>
                <w:rFonts w:ascii="宋体" w:hAnsi="宋体" w:eastAsia="宋体" w:cs="宋体"/>
                <w:color w:val="auto"/>
                <w:kern w:val="0"/>
                <w:sz w:val="18"/>
                <w:szCs w:val="18"/>
                <w:highlight w:val="none"/>
                <w:lang w:val="zh-CN" w:eastAsia="zh-CN" w:bidi="zh-CN"/>
              </w:rPr>
              <w:instrText xml:space="preserve"> </w:instrText>
            </w:r>
            <w:r>
              <w:rPr>
                <w:rFonts w:ascii="宋体" w:hAnsi="宋体" w:eastAsia="宋体" w:cs="宋体"/>
                <w:color w:val="auto"/>
                <w:kern w:val="0"/>
                <w:sz w:val="18"/>
                <w:szCs w:val="18"/>
                <w:highlight w:val="none"/>
                <w:lang w:val="zh-CN" w:eastAsia="zh-CN" w:bidi="zh-CN"/>
              </w:rPr>
              <w:fldChar w:fldCharType="separate"/>
            </w:r>
            <w:r>
              <w:rPr>
                <w:rFonts w:hint="eastAsia" w:ascii="宋体" w:hAnsi="宋体" w:eastAsia="宋体" w:cs="宋体"/>
                <w:color w:val="auto"/>
                <w:kern w:val="0"/>
                <w:sz w:val="18"/>
                <w:szCs w:val="18"/>
                <w:highlight w:val="none"/>
                <w:lang w:val="zh-CN" w:eastAsia="zh-CN" w:bidi="zh-CN"/>
              </w:rPr>
              <w:t>①</w:t>
            </w:r>
            <w:r>
              <w:rPr>
                <w:rFonts w:ascii="宋体" w:hAnsi="宋体" w:eastAsia="宋体" w:cs="宋体"/>
                <w:color w:val="auto"/>
                <w:kern w:val="0"/>
                <w:sz w:val="18"/>
                <w:szCs w:val="18"/>
                <w:highlight w:val="none"/>
                <w:lang w:val="zh-CN" w:eastAsia="zh-CN" w:bidi="zh-CN"/>
              </w:rPr>
              <w:fldChar w:fldCharType="end"/>
            </w:r>
          </w:p>
        </w:tc>
        <w:tc>
          <w:tcPr>
            <w:tcW w:w="1471" w:type="dxa"/>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填土</w:t>
            </w:r>
          </w:p>
        </w:tc>
        <w:tc>
          <w:tcPr>
            <w:tcW w:w="1824" w:type="dxa"/>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欠压实，局部稍压实</w:t>
            </w:r>
          </w:p>
        </w:tc>
        <w:tc>
          <w:tcPr>
            <w:tcW w:w="1307" w:type="dxa"/>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1:1.5</w:t>
            </w:r>
          </w:p>
        </w:tc>
        <w:tc>
          <w:tcPr>
            <w:tcW w:w="1194" w:type="dxa"/>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1:1.75</w:t>
            </w:r>
          </w:p>
        </w:tc>
        <w:tc>
          <w:tcPr>
            <w:tcW w:w="1192" w:type="dxa"/>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1:1.5～1:1.75</w:t>
            </w:r>
          </w:p>
        </w:tc>
        <w:tc>
          <w:tcPr>
            <w:tcW w:w="1192" w:type="dxa"/>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1:1.75～1:2.0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 w:hRule="atLeast"/>
        </w:trPr>
        <w:tc>
          <w:tcPr>
            <w:tcW w:w="649" w:type="dxa"/>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fldChar w:fldCharType="begin"/>
            </w:r>
            <w:r>
              <w:rPr>
                <w:rFonts w:ascii="宋体" w:hAnsi="宋体" w:eastAsia="宋体" w:cs="宋体"/>
                <w:color w:val="auto"/>
                <w:kern w:val="0"/>
                <w:sz w:val="18"/>
                <w:szCs w:val="18"/>
                <w:highlight w:val="none"/>
                <w:lang w:val="zh-CN" w:eastAsia="zh-CN" w:bidi="zh-CN"/>
              </w:rPr>
              <w:instrText xml:space="preserve"> </w:instrText>
            </w:r>
            <w:r>
              <w:rPr>
                <w:rFonts w:hint="eastAsia" w:ascii="宋体" w:hAnsi="宋体" w:eastAsia="宋体" w:cs="宋体"/>
                <w:color w:val="auto"/>
                <w:kern w:val="0"/>
                <w:sz w:val="18"/>
                <w:szCs w:val="18"/>
                <w:highlight w:val="none"/>
                <w:lang w:val="zh-CN" w:eastAsia="zh-CN" w:bidi="zh-CN"/>
              </w:rPr>
              <w:instrText xml:space="preserve">= 2 \* GB3</w:instrText>
            </w:r>
            <w:r>
              <w:rPr>
                <w:rFonts w:ascii="宋体" w:hAnsi="宋体" w:eastAsia="宋体" w:cs="宋体"/>
                <w:color w:val="auto"/>
                <w:kern w:val="0"/>
                <w:sz w:val="18"/>
                <w:szCs w:val="18"/>
                <w:highlight w:val="none"/>
                <w:lang w:val="zh-CN" w:eastAsia="zh-CN" w:bidi="zh-CN"/>
              </w:rPr>
              <w:instrText xml:space="preserve"> </w:instrText>
            </w:r>
            <w:r>
              <w:rPr>
                <w:rFonts w:ascii="宋体" w:hAnsi="宋体" w:eastAsia="宋体" w:cs="宋体"/>
                <w:color w:val="auto"/>
                <w:kern w:val="0"/>
                <w:sz w:val="18"/>
                <w:szCs w:val="18"/>
                <w:highlight w:val="none"/>
                <w:lang w:val="zh-CN" w:eastAsia="zh-CN" w:bidi="zh-CN"/>
              </w:rPr>
              <w:fldChar w:fldCharType="separate"/>
            </w:r>
            <w:r>
              <w:rPr>
                <w:rFonts w:hint="eastAsia" w:ascii="宋体" w:hAnsi="宋体" w:eastAsia="宋体" w:cs="宋体"/>
                <w:color w:val="auto"/>
                <w:kern w:val="0"/>
                <w:sz w:val="18"/>
                <w:szCs w:val="18"/>
                <w:highlight w:val="none"/>
                <w:lang w:val="zh-CN" w:eastAsia="zh-CN" w:bidi="zh-CN"/>
              </w:rPr>
              <w:t>②</w:t>
            </w:r>
            <w:r>
              <w:rPr>
                <w:rFonts w:ascii="宋体" w:hAnsi="宋体" w:eastAsia="宋体" w:cs="宋体"/>
                <w:color w:val="auto"/>
                <w:kern w:val="0"/>
                <w:sz w:val="18"/>
                <w:szCs w:val="18"/>
                <w:highlight w:val="none"/>
                <w:lang w:val="zh-CN" w:eastAsia="zh-CN" w:bidi="zh-CN"/>
              </w:rPr>
              <w:fldChar w:fldCharType="end"/>
            </w:r>
          </w:p>
        </w:tc>
        <w:tc>
          <w:tcPr>
            <w:tcW w:w="1471" w:type="dxa"/>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粉质黏土</w:t>
            </w:r>
          </w:p>
        </w:tc>
        <w:tc>
          <w:tcPr>
            <w:tcW w:w="1824" w:type="dxa"/>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可塑</w:t>
            </w:r>
          </w:p>
        </w:tc>
        <w:tc>
          <w:tcPr>
            <w:tcW w:w="1307" w:type="dxa"/>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1:1.</w:t>
            </w:r>
            <w:r>
              <w:rPr>
                <w:rFonts w:hint="eastAsia" w:ascii="宋体" w:hAnsi="宋体" w:eastAsia="宋体" w:cs="宋体"/>
                <w:color w:val="auto"/>
                <w:kern w:val="0"/>
                <w:sz w:val="18"/>
                <w:szCs w:val="18"/>
                <w:highlight w:val="none"/>
                <w:lang w:val="zh-CN" w:eastAsia="zh-CN" w:bidi="zh-CN"/>
              </w:rPr>
              <w:t>25</w:t>
            </w:r>
          </w:p>
        </w:tc>
        <w:tc>
          <w:tcPr>
            <w:tcW w:w="1194" w:type="dxa"/>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1:1.</w:t>
            </w:r>
            <w:r>
              <w:rPr>
                <w:rFonts w:hint="eastAsia" w:ascii="宋体" w:hAnsi="宋体" w:eastAsia="宋体" w:cs="宋体"/>
                <w:color w:val="auto"/>
                <w:kern w:val="0"/>
                <w:sz w:val="18"/>
                <w:szCs w:val="18"/>
                <w:highlight w:val="none"/>
                <w:lang w:val="zh-CN" w:eastAsia="zh-CN" w:bidi="zh-CN"/>
              </w:rPr>
              <w:t>5</w:t>
            </w:r>
          </w:p>
        </w:tc>
        <w:tc>
          <w:tcPr>
            <w:tcW w:w="1192" w:type="dxa"/>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1:1.</w:t>
            </w:r>
            <w:r>
              <w:rPr>
                <w:rFonts w:hint="eastAsia" w:ascii="宋体" w:hAnsi="宋体" w:eastAsia="宋体" w:cs="宋体"/>
                <w:color w:val="auto"/>
                <w:kern w:val="0"/>
                <w:sz w:val="18"/>
                <w:szCs w:val="18"/>
                <w:highlight w:val="none"/>
                <w:lang w:val="zh-CN" w:eastAsia="zh-CN" w:bidi="zh-CN"/>
              </w:rPr>
              <w:t>5</w:t>
            </w:r>
          </w:p>
        </w:tc>
        <w:tc>
          <w:tcPr>
            <w:tcW w:w="1192" w:type="dxa"/>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1:</w:t>
            </w:r>
            <w:r>
              <w:rPr>
                <w:rFonts w:hint="eastAsia" w:ascii="宋体" w:hAnsi="宋体" w:eastAsia="宋体" w:cs="宋体"/>
                <w:color w:val="auto"/>
                <w:kern w:val="0"/>
                <w:sz w:val="18"/>
                <w:szCs w:val="18"/>
                <w:highlight w:val="none"/>
                <w:lang w:val="zh-CN" w:eastAsia="zh-CN" w:bidi="zh-CN"/>
              </w:rPr>
              <w:t>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9" w:hRule="atLeast"/>
        </w:trPr>
        <w:tc>
          <w:tcPr>
            <w:tcW w:w="8829" w:type="dxa"/>
            <w:gridSpan w:val="7"/>
            <w:tcMar>
              <w:top w:w="15" w:type="dxa"/>
              <w:left w:w="15" w:type="dxa"/>
              <w:bottom w:w="0" w:type="dxa"/>
              <w:right w:w="15" w:type="dxa"/>
            </w:tcMar>
            <w:vAlign w:val="center"/>
          </w:tcPr>
          <w:p>
            <w:pPr>
              <w:pStyle w:val="432"/>
              <w:rPr>
                <w:rFonts w:ascii="宋体" w:hAnsi="宋体" w:eastAsia="宋体" w:cs="宋体"/>
                <w:color w:val="auto"/>
                <w:kern w:val="0"/>
                <w:sz w:val="18"/>
                <w:szCs w:val="18"/>
                <w:highlight w:val="none"/>
                <w:lang w:val="zh-CN" w:eastAsia="zh-CN" w:bidi="zh-CN"/>
              </w:rPr>
            </w:pPr>
            <w:r>
              <w:rPr>
                <w:rFonts w:ascii="宋体" w:hAnsi="宋体" w:eastAsia="宋体" w:cs="宋体"/>
                <w:color w:val="auto"/>
                <w:kern w:val="0"/>
                <w:sz w:val="18"/>
                <w:szCs w:val="18"/>
                <w:highlight w:val="none"/>
                <w:lang w:val="zh-CN" w:eastAsia="zh-CN" w:bidi="zh-CN"/>
              </w:rPr>
              <w:t>说明：本表仅适用坡高低于5m以内边坡，坡高大于8m时增设马道。</w:t>
            </w:r>
          </w:p>
        </w:tc>
      </w:tr>
    </w:tbl>
    <w:p>
      <w:pPr>
        <w:pStyle w:val="22"/>
        <w:adjustRightInd w:val="0"/>
        <w:snapToGrid w:val="0"/>
        <w:spacing w:line="360" w:lineRule="auto"/>
        <w:ind w:firstLine="0"/>
        <w:rPr>
          <w:color w:val="auto"/>
          <w:sz w:val="24"/>
          <w:highlight w:val="none"/>
        </w:rPr>
      </w:pPr>
    </w:p>
    <w:p>
      <w:pPr>
        <w:ind w:firstLine="480"/>
        <w:rPr>
          <w:rFonts w:eastAsia="黑体"/>
          <w:color w:val="auto"/>
          <w:highlight w:val="none"/>
        </w:rPr>
        <w:sectPr>
          <w:footerReference r:id="rId7"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pPr>
        <w:pStyle w:val="352"/>
        <w:ind w:firstLine="360"/>
        <w:rPr>
          <w:color w:val="auto"/>
          <w:highlight w:val="none"/>
        </w:rPr>
      </w:pPr>
    </w:p>
    <w:p>
      <w:pPr>
        <w:pStyle w:val="352"/>
        <w:ind w:firstLine="360"/>
        <w:rPr>
          <w:color w:val="auto"/>
          <w:highlight w:val="none"/>
        </w:rPr>
      </w:pPr>
      <w:r>
        <w:rPr>
          <w:color w:val="auto"/>
          <w:highlight w:val="none"/>
        </w:rPr>
        <w:t>表3</w:t>
      </w:r>
      <w:r>
        <w:rPr>
          <w:rFonts w:hint="eastAsia"/>
          <w:color w:val="auto"/>
          <w:highlight w:val="none"/>
          <w:lang w:val="en-US" w:eastAsia="zh-CN"/>
        </w:rPr>
        <w:t>-5</w:t>
      </w:r>
      <w:r>
        <w:rPr>
          <w:color w:val="auto"/>
          <w:highlight w:val="none"/>
        </w:rPr>
        <w:t xml:space="preserve">  堤防各岩土层主要物理力学指标建议值</w:t>
      </w:r>
    </w:p>
    <w:tbl>
      <w:tblPr>
        <w:tblStyle w:val="47"/>
        <w:tblW w:w="14037"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40"/>
        <w:gridCol w:w="1080"/>
        <w:gridCol w:w="810"/>
        <w:gridCol w:w="809"/>
        <w:gridCol w:w="676"/>
        <w:gridCol w:w="539"/>
        <w:gridCol w:w="542"/>
        <w:gridCol w:w="675"/>
        <w:gridCol w:w="540"/>
        <w:gridCol w:w="673"/>
        <w:gridCol w:w="676"/>
        <w:gridCol w:w="539"/>
        <w:gridCol w:w="562"/>
        <w:gridCol w:w="1192"/>
        <w:gridCol w:w="1191"/>
        <w:gridCol w:w="1172"/>
        <w:gridCol w:w="921"/>
        <w:gridCol w:w="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3" w:hRule="atLeast"/>
        </w:trPr>
        <w:tc>
          <w:tcPr>
            <w:tcW w:w="540" w:type="dxa"/>
            <w:vMerge w:val="restart"/>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层号</w:t>
            </w:r>
          </w:p>
        </w:tc>
        <w:tc>
          <w:tcPr>
            <w:tcW w:w="1080" w:type="dxa"/>
            <w:vMerge w:val="restart"/>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岩土名称</w:t>
            </w:r>
          </w:p>
        </w:tc>
        <w:tc>
          <w:tcPr>
            <w:tcW w:w="810" w:type="dxa"/>
            <w:vMerge w:val="restart"/>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重度</w:t>
            </w:r>
          </w:p>
        </w:tc>
        <w:tc>
          <w:tcPr>
            <w:tcW w:w="809" w:type="dxa"/>
            <w:vMerge w:val="restart"/>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天然</w:t>
            </w:r>
          </w:p>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含水量</w:t>
            </w:r>
          </w:p>
        </w:tc>
        <w:tc>
          <w:tcPr>
            <w:tcW w:w="676" w:type="dxa"/>
            <w:vMerge w:val="restart"/>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天然</w:t>
            </w:r>
          </w:p>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密度</w:t>
            </w:r>
          </w:p>
        </w:tc>
        <w:tc>
          <w:tcPr>
            <w:tcW w:w="539" w:type="dxa"/>
            <w:vMerge w:val="restart"/>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比重</w:t>
            </w:r>
          </w:p>
        </w:tc>
        <w:tc>
          <w:tcPr>
            <w:tcW w:w="542" w:type="dxa"/>
            <w:vMerge w:val="restart"/>
            <w:tcMar>
              <w:top w:w="15" w:type="dxa"/>
              <w:left w:w="28" w:type="dxa"/>
              <w:bottom w:w="0"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孔隙比</w:t>
            </w:r>
          </w:p>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1215" w:type="dxa"/>
            <w:gridSpan w:val="2"/>
            <w:vMerge w:val="restart"/>
            <w:tcMar>
              <w:top w:w="15" w:type="dxa"/>
              <w:left w:w="28" w:type="dxa"/>
              <w:bottom w:w="0"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饱和快剪强度参数</w:t>
            </w:r>
          </w:p>
        </w:tc>
        <w:tc>
          <w:tcPr>
            <w:tcW w:w="673" w:type="dxa"/>
            <w:vMerge w:val="restart"/>
            <w:tcMar>
              <w:top w:w="15" w:type="dxa"/>
              <w:left w:w="28" w:type="dxa"/>
              <w:bottom w:w="0"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压缩</w:t>
            </w:r>
          </w:p>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系数</w:t>
            </w:r>
          </w:p>
        </w:tc>
        <w:tc>
          <w:tcPr>
            <w:tcW w:w="676" w:type="dxa"/>
            <w:vMerge w:val="restart"/>
            <w:tcMar>
              <w:top w:w="15" w:type="dxa"/>
              <w:left w:w="28" w:type="dxa"/>
              <w:bottom w:w="0"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压缩</w:t>
            </w:r>
          </w:p>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模量</w:t>
            </w:r>
          </w:p>
        </w:tc>
        <w:tc>
          <w:tcPr>
            <w:tcW w:w="539" w:type="dxa"/>
            <w:vMerge w:val="restart"/>
            <w:tcMar>
              <w:top w:w="15" w:type="dxa"/>
              <w:left w:w="28" w:type="dxa"/>
              <w:bottom w:w="0"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highlight w:val="none"/>
                <w:lang w:eastAsia="zh-CN"/>
              </w:rPr>
            </w:pPr>
            <w:r>
              <w:rPr>
                <w:rFonts w:hint="eastAsia"/>
                <w:color w:val="auto"/>
                <w:highlight w:val="none"/>
                <w:lang w:eastAsia="zh-CN"/>
              </w:rPr>
              <w:t>变形</w:t>
            </w:r>
          </w:p>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模量</w:t>
            </w:r>
          </w:p>
        </w:tc>
        <w:tc>
          <w:tcPr>
            <w:tcW w:w="562" w:type="dxa"/>
            <w:vMerge w:val="restart"/>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地基承载力特征值</w:t>
            </w:r>
          </w:p>
        </w:tc>
        <w:tc>
          <w:tcPr>
            <w:tcW w:w="2383" w:type="dxa"/>
            <w:gridSpan w:val="2"/>
            <w:tcMar>
              <w:top w:w="15" w:type="dxa"/>
              <w:left w:w="28" w:type="dxa"/>
              <w:bottom w:w="0"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钻孔灌注桩（桩长＜15）</w:t>
            </w:r>
          </w:p>
        </w:tc>
        <w:tc>
          <w:tcPr>
            <w:tcW w:w="1172" w:type="dxa"/>
            <w:vMerge w:val="restart"/>
            <w:tcMar>
              <w:top w:w="15" w:type="dxa"/>
              <w:left w:w="28" w:type="dxa"/>
              <w:bottom w:w="0"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水泥土搅拌桩土的侧阻力特征值</w:t>
            </w:r>
          </w:p>
        </w:tc>
        <w:tc>
          <w:tcPr>
            <w:tcW w:w="921" w:type="dxa"/>
            <w:vMerge w:val="restart"/>
            <w:tcMar>
              <w:top w:w="15" w:type="dxa"/>
              <w:left w:w="28" w:type="dxa"/>
              <w:bottom w:w="0"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砼与基础的摩擦系数</w:t>
            </w:r>
          </w:p>
        </w:tc>
        <w:tc>
          <w:tcPr>
            <w:tcW w:w="900" w:type="dxa"/>
            <w:vMerge w:val="restart"/>
            <w:tcMar>
              <w:top w:w="15" w:type="dxa"/>
              <w:left w:w="28" w:type="dxa"/>
              <w:bottom w:w="0"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渗透系数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7" w:hRule="atLeast"/>
        </w:trPr>
        <w:tc>
          <w:tcPr>
            <w:tcW w:w="540" w:type="dxa"/>
            <w:vMerge w:val="continue"/>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1080" w:type="dxa"/>
            <w:vMerge w:val="continue"/>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810" w:type="dxa"/>
            <w:vMerge w:val="continue"/>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809" w:type="dxa"/>
            <w:vMerge w:val="continue"/>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676" w:type="dxa"/>
            <w:vMerge w:val="continue"/>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539" w:type="dxa"/>
            <w:vMerge w:val="continue"/>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542" w:type="dxa"/>
            <w:vMerge w:val="continue"/>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1215" w:type="dxa"/>
            <w:gridSpan w:val="2"/>
            <w:vMerge w:val="continue"/>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673" w:type="dxa"/>
            <w:vMerge w:val="continue"/>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676" w:type="dxa"/>
            <w:vMerge w:val="continue"/>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539" w:type="dxa"/>
            <w:vMerge w:val="continue"/>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562" w:type="dxa"/>
            <w:vMerge w:val="continue"/>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1192" w:type="dxa"/>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端阻力特征值</w:t>
            </w:r>
          </w:p>
        </w:tc>
        <w:tc>
          <w:tcPr>
            <w:tcW w:w="1191" w:type="dxa"/>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侧阻力特征值</w:t>
            </w:r>
          </w:p>
        </w:tc>
        <w:tc>
          <w:tcPr>
            <w:tcW w:w="1172" w:type="dxa"/>
            <w:vMerge w:val="continue"/>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921" w:type="dxa"/>
            <w:vMerge w:val="continue"/>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900" w:type="dxa"/>
            <w:vMerge w:val="continue"/>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0" w:hRule="atLeast"/>
        </w:trPr>
        <w:tc>
          <w:tcPr>
            <w:tcW w:w="540" w:type="dxa"/>
            <w:vMerge w:val="continue"/>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1080" w:type="dxa"/>
            <w:vMerge w:val="continue"/>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810" w:type="dxa"/>
            <w:vMerge w:val="continue"/>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809" w:type="dxa"/>
            <w:vMerge w:val="continue"/>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676" w:type="dxa"/>
            <w:vMerge w:val="continue"/>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539" w:type="dxa"/>
            <w:vMerge w:val="continue"/>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542" w:type="dxa"/>
            <w:vMerge w:val="continue"/>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675" w:type="dxa"/>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c</w:t>
            </w:r>
            <w:r>
              <w:rPr>
                <w:color w:val="auto"/>
                <w:highlight w:val="none"/>
                <w:vertAlign w:val="subscript"/>
                <w:lang w:eastAsia="zh-CN"/>
              </w:rPr>
              <w:t>sq</w:t>
            </w:r>
          </w:p>
        </w:tc>
        <w:tc>
          <w:tcPr>
            <w:tcW w:w="540" w:type="dxa"/>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Φ</w:t>
            </w:r>
            <w:r>
              <w:rPr>
                <w:color w:val="auto"/>
                <w:highlight w:val="none"/>
                <w:vertAlign w:val="subscript"/>
                <w:lang w:eastAsia="zh-CN"/>
              </w:rPr>
              <w:t>sq</w:t>
            </w:r>
          </w:p>
        </w:tc>
        <w:tc>
          <w:tcPr>
            <w:tcW w:w="673" w:type="dxa"/>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a</w:t>
            </w:r>
            <w:r>
              <w:rPr>
                <w:color w:val="auto"/>
                <w:highlight w:val="none"/>
                <w:vertAlign w:val="subscript"/>
                <w:lang w:eastAsia="zh-CN"/>
              </w:rPr>
              <w:t>v</w:t>
            </w:r>
          </w:p>
        </w:tc>
        <w:tc>
          <w:tcPr>
            <w:tcW w:w="676" w:type="dxa"/>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E</w:t>
            </w:r>
            <w:r>
              <w:rPr>
                <w:color w:val="auto"/>
                <w:highlight w:val="none"/>
                <w:vertAlign w:val="subscript"/>
                <w:lang w:eastAsia="zh-CN"/>
              </w:rPr>
              <w:t>s</w:t>
            </w:r>
          </w:p>
        </w:tc>
        <w:tc>
          <w:tcPr>
            <w:tcW w:w="539" w:type="dxa"/>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rFonts w:hint="eastAsia"/>
                <w:color w:val="auto"/>
                <w:highlight w:val="none"/>
                <w:lang w:eastAsia="zh-CN"/>
              </w:rPr>
              <w:t>E0</w:t>
            </w:r>
          </w:p>
        </w:tc>
        <w:tc>
          <w:tcPr>
            <w:tcW w:w="562"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fa</w:t>
            </w:r>
            <w:r>
              <w:rPr>
                <w:color w:val="auto"/>
                <w:highlight w:val="none"/>
                <w:vertAlign w:val="subscript"/>
                <w:lang w:eastAsia="zh-CN"/>
              </w:rPr>
              <w:t>k</w:t>
            </w:r>
          </w:p>
        </w:tc>
        <w:tc>
          <w:tcPr>
            <w:tcW w:w="1192" w:type="dxa"/>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sz w:val="18"/>
                <w:szCs w:val="18"/>
                <w:highlight w:val="none"/>
                <w:lang w:eastAsia="zh-CN"/>
              </w:rPr>
            </w:pPr>
            <w:r>
              <w:rPr>
                <w:color w:val="auto"/>
                <w:sz w:val="18"/>
                <w:szCs w:val="18"/>
                <w:highlight w:val="none"/>
                <w:lang w:eastAsia="zh-CN"/>
              </w:rPr>
              <w:t>qsa</w:t>
            </w:r>
          </w:p>
        </w:tc>
        <w:tc>
          <w:tcPr>
            <w:tcW w:w="1191" w:type="dxa"/>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sz w:val="18"/>
                <w:szCs w:val="18"/>
                <w:highlight w:val="none"/>
                <w:lang w:eastAsia="zh-CN"/>
              </w:rPr>
            </w:pPr>
            <w:r>
              <w:rPr>
                <w:color w:val="auto"/>
                <w:sz w:val="18"/>
                <w:szCs w:val="18"/>
                <w:highlight w:val="none"/>
                <w:lang w:eastAsia="zh-CN"/>
              </w:rPr>
              <w:t>qpa</w:t>
            </w:r>
          </w:p>
        </w:tc>
        <w:tc>
          <w:tcPr>
            <w:tcW w:w="1172" w:type="dxa"/>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q</w:t>
            </w:r>
            <w:r>
              <w:rPr>
                <w:color w:val="auto"/>
                <w:highlight w:val="none"/>
                <w:vertAlign w:val="subscript"/>
                <w:lang w:eastAsia="zh-CN"/>
              </w:rPr>
              <w:t>si</w:t>
            </w:r>
          </w:p>
        </w:tc>
        <w:tc>
          <w:tcPr>
            <w:tcW w:w="921" w:type="dxa"/>
            <w:vMerge w:val="restart"/>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f</w:t>
            </w:r>
          </w:p>
        </w:tc>
        <w:tc>
          <w:tcPr>
            <w:tcW w:w="900" w:type="dxa"/>
            <w:tcMar>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1" w:hRule="atLeast"/>
        </w:trPr>
        <w:tc>
          <w:tcPr>
            <w:tcW w:w="540" w:type="dxa"/>
            <w:vMerge w:val="continue"/>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1080" w:type="dxa"/>
            <w:vMerge w:val="continue"/>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810"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rFonts w:ascii="Arial" w:hAnsi="Arial"/>
                <w:color w:val="auto"/>
                <w:sz w:val="24"/>
                <w:highlight w:val="none"/>
              </w:rPr>
              <w:t>γ</w:t>
            </w:r>
          </w:p>
        </w:tc>
        <w:tc>
          <w:tcPr>
            <w:tcW w:w="809"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w:t>
            </w:r>
          </w:p>
        </w:tc>
        <w:tc>
          <w:tcPr>
            <w:tcW w:w="676"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g/c</w:t>
            </w:r>
            <w:r>
              <w:rPr>
                <w:rFonts w:hint="eastAsia"/>
                <w:color w:val="auto"/>
                <w:highlight w:val="none"/>
                <w:lang w:eastAsia="zh-CN"/>
              </w:rPr>
              <w:t>m³</w:t>
            </w:r>
          </w:p>
        </w:tc>
        <w:tc>
          <w:tcPr>
            <w:tcW w:w="539"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Gs</w:t>
            </w:r>
          </w:p>
        </w:tc>
        <w:tc>
          <w:tcPr>
            <w:tcW w:w="542" w:type="dxa"/>
            <w:tcMar>
              <w:bottom w:w="0"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675" w:type="dxa"/>
            <w:tcMar>
              <w:top w:w="15" w:type="dxa"/>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Pa</w:t>
            </w:r>
          </w:p>
        </w:tc>
        <w:tc>
          <w:tcPr>
            <w:tcW w:w="540"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w:t>
            </w:r>
          </w:p>
        </w:tc>
        <w:tc>
          <w:tcPr>
            <w:tcW w:w="673"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1/MPa</w:t>
            </w:r>
          </w:p>
        </w:tc>
        <w:tc>
          <w:tcPr>
            <w:tcW w:w="676"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MPa</w:t>
            </w:r>
          </w:p>
        </w:tc>
        <w:tc>
          <w:tcPr>
            <w:tcW w:w="539"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MPa</w:t>
            </w:r>
          </w:p>
        </w:tc>
        <w:tc>
          <w:tcPr>
            <w:tcW w:w="562"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kPa</w:t>
            </w:r>
          </w:p>
        </w:tc>
        <w:tc>
          <w:tcPr>
            <w:tcW w:w="1192"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sz w:val="18"/>
                <w:szCs w:val="18"/>
                <w:highlight w:val="none"/>
                <w:lang w:eastAsia="zh-CN"/>
              </w:rPr>
            </w:pPr>
            <w:r>
              <w:rPr>
                <w:color w:val="auto"/>
                <w:sz w:val="18"/>
                <w:szCs w:val="18"/>
                <w:highlight w:val="none"/>
                <w:lang w:eastAsia="zh-CN"/>
              </w:rPr>
              <w:t>kPa</w:t>
            </w:r>
          </w:p>
        </w:tc>
        <w:tc>
          <w:tcPr>
            <w:tcW w:w="1191"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sz w:val="18"/>
                <w:szCs w:val="18"/>
                <w:highlight w:val="none"/>
                <w:lang w:eastAsia="zh-CN"/>
              </w:rPr>
            </w:pPr>
            <w:r>
              <w:rPr>
                <w:color w:val="auto"/>
                <w:sz w:val="18"/>
                <w:szCs w:val="18"/>
                <w:highlight w:val="none"/>
                <w:lang w:eastAsia="zh-CN"/>
              </w:rPr>
              <w:t>kPa</w:t>
            </w:r>
          </w:p>
        </w:tc>
        <w:tc>
          <w:tcPr>
            <w:tcW w:w="1172" w:type="dxa"/>
            <w:tcMar>
              <w:top w:w="15" w:type="dxa"/>
              <w:left w:w="28" w:type="dxa"/>
              <w:bottom w:w="0"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kPa</w:t>
            </w:r>
          </w:p>
        </w:tc>
        <w:tc>
          <w:tcPr>
            <w:tcW w:w="921" w:type="dxa"/>
            <w:vMerge w:val="continue"/>
            <w:tcMar>
              <w:top w:w="15" w:type="dxa"/>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900" w:type="dxa"/>
            <w:tcMar>
              <w:top w:w="15" w:type="dxa"/>
              <w:bottom w:w="0"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cm/s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6" w:hRule="atLeast"/>
        </w:trPr>
        <w:tc>
          <w:tcPr>
            <w:tcW w:w="540"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fldChar w:fldCharType="begin"/>
            </w:r>
            <w:r>
              <w:rPr>
                <w:color w:val="auto"/>
                <w:highlight w:val="none"/>
                <w:lang w:eastAsia="zh-CN"/>
              </w:rPr>
              <w:instrText xml:space="preserve"> </w:instrText>
            </w:r>
            <w:r>
              <w:rPr>
                <w:rFonts w:hint="eastAsia"/>
                <w:color w:val="auto"/>
                <w:highlight w:val="none"/>
                <w:lang w:eastAsia="zh-CN"/>
              </w:rPr>
              <w:instrText xml:space="preserve">= 1 \* GB3</w:instrText>
            </w:r>
            <w:r>
              <w:rPr>
                <w:color w:val="auto"/>
                <w:highlight w:val="none"/>
                <w:lang w:eastAsia="zh-CN"/>
              </w:rPr>
              <w:instrText xml:space="preserve"> </w:instrText>
            </w:r>
            <w:r>
              <w:rPr>
                <w:color w:val="auto"/>
                <w:highlight w:val="none"/>
                <w:lang w:eastAsia="zh-CN"/>
              </w:rPr>
              <w:fldChar w:fldCharType="separate"/>
            </w:r>
            <w:r>
              <w:rPr>
                <w:rFonts w:hint="eastAsia"/>
                <w:color w:val="auto"/>
                <w:highlight w:val="none"/>
                <w:lang w:eastAsia="zh-CN"/>
              </w:rPr>
              <w:t>①</w:t>
            </w:r>
            <w:r>
              <w:rPr>
                <w:color w:val="auto"/>
                <w:highlight w:val="none"/>
                <w:lang w:eastAsia="zh-CN"/>
              </w:rPr>
              <w:fldChar w:fldCharType="end"/>
            </w:r>
          </w:p>
        </w:tc>
        <w:tc>
          <w:tcPr>
            <w:tcW w:w="1080"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填土</w:t>
            </w:r>
          </w:p>
        </w:tc>
        <w:tc>
          <w:tcPr>
            <w:tcW w:w="810"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rFonts w:ascii="宋体" w:hAnsi="宋体"/>
                <w:color w:val="auto"/>
                <w:highlight w:val="none"/>
              </w:rPr>
              <w:t>17.0</w:t>
            </w:r>
          </w:p>
        </w:tc>
        <w:tc>
          <w:tcPr>
            <w:tcW w:w="809"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highlight w:val="none"/>
                <w:lang w:eastAsia="zh-CN"/>
              </w:rPr>
            </w:pPr>
            <w:r>
              <w:rPr>
                <w:rFonts w:hint="eastAsia"/>
                <w:color w:val="auto"/>
                <w:highlight w:val="none"/>
                <w:lang w:eastAsia="zh-CN"/>
              </w:rPr>
              <w:t>32.7</w:t>
            </w:r>
          </w:p>
        </w:tc>
        <w:tc>
          <w:tcPr>
            <w:tcW w:w="676"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highlight w:val="none"/>
                <w:lang w:eastAsia="zh-CN"/>
              </w:rPr>
            </w:pPr>
            <w:r>
              <w:rPr>
                <w:rFonts w:hint="eastAsia"/>
                <w:color w:val="auto"/>
                <w:highlight w:val="none"/>
                <w:lang w:eastAsia="zh-CN"/>
              </w:rPr>
              <w:t>1.86</w:t>
            </w:r>
          </w:p>
        </w:tc>
        <w:tc>
          <w:tcPr>
            <w:tcW w:w="539"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rFonts w:hint="eastAsia"/>
                <w:color w:val="auto"/>
                <w:highlight w:val="none"/>
                <w:lang w:eastAsia="zh-CN"/>
              </w:rPr>
              <w:t>2.67</w:t>
            </w:r>
          </w:p>
        </w:tc>
        <w:tc>
          <w:tcPr>
            <w:tcW w:w="542" w:type="dxa"/>
            <w:tcMar>
              <w:bottom w:w="0"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highlight w:val="none"/>
                <w:lang w:eastAsia="zh-CN"/>
              </w:rPr>
            </w:pPr>
            <w:r>
              <w:rPr>
                <w:rFonts w:hint="eastAsia"/>
                <w:color w:val="auto"/>
                <w:highlight w:val="none"/>
                <w:lang w:eastAsia="zh-CN"/>
              </w:rPr>
              <w:t>0.91</w:t>
            </w:r>
          </w:p>
        </w:tc>
        <w:tc>
          <w:tcPr>
            <w:tcW w:w="675" w:type="dxa"/>
            <w:tcMar>
              <w:top w:w="15" w:type="dxa"/>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highlight w:val="none"/>
                <w:lang w:eastAsia="zh-CN"/>
              </w:rPr>
            </w:pPr>
            <w:r>
              <w:rPr>
                <w:rFonts w:hint="eastAsia"/>
                <w:color w:val="auto"/>
                <w:highlight w:val="none"/>
                <w:lang w:eastAsia="zh-CN"/>
              </w:rPr>
              <w:t>23.7</w:t>
            </w:r>
          </w:p>
        </w:tc>
        <w:tc>
          <w:tcPr>
            <w:tcW w:w="540"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highlight w:val="none"/>
                <w:lang w:eastAsia="zh-CN"/>
              </w:rPr>
            </w:pPr>
            <w:r>
              <w:rPr>
                <w:rFonts w:hint="eastAsia"/>
                <w:color w:val="auto"/>
                <w:highlight w:val="none"/>
                <w:lang w:eastAsia="zh-CN"/>
              </w:rPr>
              <w:t>19.9</w:t>
            </w:r>
          </w:p>
        </w:tc>
        <w:tc>
          <w:tcPr>
            <w:tcW w:w="673"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highlight w:val="none"/>
                <w:lang w:eastAsia="zh-CN"/>
              </w:rPr>
            </w:pPr>
            <w:r>
              <w:rPr>
                <w:rFonts w:hint="eastAsia"/>
                <w:color w:val="auto"/>
                <w:highlight w:val="none"/>
                <w:lang w:eastAsia="zh-CN"/>
              </w:rPr>
              <w:t>0.30</w:t>
            </w:r>
          </w:p>
        </w:tc>
        <w:tc>
          <w:tcPr>
            <w:tcW w:w="676"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highlight w:val="none"/>
                <w:lang w:eastAsia="zh-CN"/>
              </w:rPr>
            </w:pPr>
            <w:r>
              <w:rPr>
                <w:rFonts w:hint="eastAsia"/>
                <w:color w:val="auto"/>
                <w:highlight w:val="none"/>
                <w:lang w:eastAsia="zh-CN"/>
              </w:rPr>
              <w:t>6.19</w:t>
            </w:r>
          </w:p>
        </w:tc>
        <w:tc>
          <w:tcPr>
            <w:tcW w:w="539"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p>
        </w:tc>
        <w:tc>
          <w:tcPr>
            <w:tcW w:w="562"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rFonts w:hint="eastAsia"/>
                <w:color w:val="auto"/>
                <w:highlight w:val="none"/>
                <w:lang w:eastAsia="zh-CN"/>
              </w:rPr>
              <w:t>80</w:t>
            </w:r>
          </w:p>
        </w:tc>
        <w:tc>
          <w:tcPr>
            <w:tcW w:w="1192"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w:t>
            </w:r>
          </w:p>
        </w:tc>
        <w:tc>
          <w:tcPr>
            <w:tcW w:w="1191"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w:t>
            </w:r>
          </w:p>
        </w:tc>
        <w:tc>
          <w:tcPr>
            <w:tcW w:w="1172" w:type="dxa"/>
            <w:tcMar>
              <w:top w:w="15" w:type="dxa"/>
              <w:left w:w="28" w:type="dxa"/>
              <w:bottom w:w="0"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w:t>
            </w:r>
          </w:p>
        </w:tc>
        <w:tc>
          <w:tcPr>
            <w:tcW w:w="921" w:type="dxa"/>
            <w:tcMar>
              <w:top w:w="15" w:type="dxa"/>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w:t>
            </w:r>
          </w:p>
        </w:tc>
        <w:tc>
          <w:tcPr>
            <w:tcW w:w="900" w:type="dxa"/>
            <w:tcMar>
              <w:top w:w="15" w:type="dxa"/>
              <w:bottom w:w="0"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sz w:val="18"/>
                <w:szCs w:val="18"/>
                <w:highlight w:val="none"/>
                <w:lang w:eastAsia="zh-CN"/>
              </w:rPr>
            </w:pPr>
            <w:r>
              <w:rPr>
                <w:rFonts w:hint="eastAsia"/>
                <w:color w:val="auto"/>
                <w:sz w:val="18"/>
                <w:szCs w:val="18"/>
                <w:highlight w:val="none"/>
                <w:lang w:eastAsia="zh-CN"/>
              </w:rPr>
              <w:t>7.5</w:t>
            </w:r>
            <w:r>
              <w:rPr>
                <w:color w:val="auto"/>
                <w:highlight w:val="none"/>
                <w:lang w:eastAsia="zh-CN"/>
              </w:rPr>
              <w:t>×10</w:t>
            </w:r>
            <w:r>
              <w:rPr>
                <w:color w:val="auto"/>
                <w:highlight w:val="none"/>
                <w:vertAlign w:val="superscript"/>
                <w:lang w:eastAsia="zh-CN"/>
              </w:rPr>
              <w:t>-</w:t>
            </w:r>
            <w:r>
              <w:rPr>
                <w:rFonts w:hint="eastAsia"/>
                <w:color w:val="auto"/>
                <w:highlight w:val="none"/>
                <w:vertAlign w:val="superscript"/>
                <w:lang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6" w:hRule="atLeast"/>
        </w:trPr>
        <w:tc>
          <w:tcPr>
            <w:tcW w:w="540"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fldChar w:fldCharType="begin"/>
            </w:r>
            <w:r>
              <w:rPr>
                <w:color w:val="auto"/>
                <w:highlight w:val="none"/>
                <w:lang w:eastAsia="zh-CN"/>
              </w:rPr>
              <w:instrText xml:space="preserve"> </w:instrText>
            </w:r>
            <w:r>
              <w:rPr>
                <w:rFonts w:hint="eastAsia"/>
                <w:color w:val="auto"/>
                <w:highlight w:val="none"/>
                <w:lang w:eastAsia="zh-CN"/>
              </w:rPr>
              <w:instrText xml:space="preserve">= 2 \* GB3</w:instrText>
            </w:r>
            <w:r>
              <w:rPr>
                <w:color w:val="auto"/>
                <w:highlight w:val="none"/>
                <w:lang w:eastAsia="zh-CN"/>
              </w:rPr>
              <w:instrText xml:space="preserve"> </w:instrText>
            </w:r>
            <w:r>
              <w:rPr>
                <w:color w:val="auto"/>
                <w:highlight w:val="none"/>
                <w:lang w:eastAsia="zh-CN"/>
              </w:rPr>
              <w:fldChar w:fldCharType="separate"/>
            </w:r>
            <w:r>
              <w:rPr>
                <w:rFonts w:hint="eastAsia"/>
                <w:color w:val="auto"/>
                <w:highlight w:val="none"/>
                <w:lang w:eastAsia="zh-CN"/>
              </w:rPr>
              <w:t>②</w:t>
            </w:r>
            <w:r>
              <w:rPr>
                <w:color w:val="auto"/>
                <w:highlight w:val="none"/>
                <w:lang w:eastAsia="zh-CN"/>
              </w:rPr>
              <w:fldChar w:fldCharType="end"/>
            </w:r>
          </w:p>
        </w:tc>
        <w:tc>
          <w:tcPr>
            <w:tcW w:w="1080"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粉质黏土</w:t>
            </w:r>
          </w:p>
        </w:tc>
        <w:tc>
          <w:tcPr>
            <w:tcW w:w="810"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rFonts w:hint="eastAsia" w:ascii="宋体" w:hAnsi="宋体"/>
                <w:color w:val="auto"/>
                <w:highlight w:val="none"/>
              </w:rPr>
              <w:t>17.3</w:t>
            </w:r>
          </w:p>
        </w:tc>
        <w:tc>
          <w:tcPr>
            <w:tcW w:w="809"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highlight w:val="none"/>
                <w:lang w:eastAsia="zh-CN"/>
              </w:rPr>
            </w:pPr>
            <w:r>
              <w:rPr>
                <w:rFonts w:hint="eastAsia"/>
                <w:color w:val="auto"/>
                <w:highlight w:val="none"/>
                <w:lang w:eastAsia="zh-CN"/>
              </w:rPr>
              <w:t>29.9</w:t>
            </w:r>
          </w:p>
        </w:tc>
        <w:tc>
          <w:tcPr>
            <w:tcW w:w="676"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highlight w:val="none"/>
                <w:lang w:eastAsia="zh-CN"/>
              </w:rPr>
            </w:pPr>
            <w:r>
              <w:rPr>
                <w:rFonts w:hint="eastAsia"/>
                <w:color w:val="auto"/>
                <w:highlight w:val="none"/>
                <w:lang w:eastAsia="zh-CN"/>
              </w:rPr>
              <w:t>1.81</w:t>
            </w:r>
          </w:p>
        </w:tc>
        <w:tc>
          <w:tcPr>
            <w:tcW w:w="539"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highlight w:val="none"/>
                <w:lang w:eastAsia="zh-CN"/>
              </w:rPr>
            </w:pPr>
            <w:r>
              <w:rPr>
                <w:rFonts w:hint="eastAsia"/>
                <w:color w:val="auto"/>
                <w:highlight w:val="none"/>
                <w:lang w:eastAsia="zh-CN"/>
              </w:rPr>
              <w:t>2.70</w:t>
            </w:r>
          </w:p>
        </w:tc>
        <w:tc>
          <w:tcPr>
            <w:tcW w:w="542" w:type="dxa"/>
            <w:tcMar>
              <w:bottom w:w="0"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highlight w:val="none"/>
                <w:lang w:eastAsia="zh-CN"/>
              </w:rPr>
            </w:pPr>
            <w:r>
              <w:rPr>
                <w:rFonts w:hint="eastAsia"/>
                <w:color w:val="auto"/>
                <w:highlight w:val="none"/>
                <w:lang w:eastAsia="zh-CN"/>
              </w:rPr>
              <w:t>0.93</w:t>
            </w:r>
          </w:p>
        </w:tc>
        <w:tc>
          <w:tcPr>
            <w:tcW w:w="675" w:type="dxa"/>
            <w:tcMar>
              <w:top w:w="15" w:type="dxa"/>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highlight w:val="none"/>
                <w:lang w:eastAsia="zh-CN"/>
              </w:rPr>
            </w:pPr>
            <w:r>
              <w:rPr>
                <w:rFonts w:hint="eastAsia"/>
                <w:color w:val="auto"/>
                <w:highlight w:val="none"/>
                <w:lang w:eastAsia="zh-CN"/>
              </w:rPr>
              <w:t>19.87</w:t>
            </w:r>
          </w:p>
        </w:tc>
        <w:tc>
          <w:tcPr>
            <w:tcW w:w="540"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rFonts w:hint="eastAsia"/>
                <w:color w:val="auto"/>
                <w:highlight w:val="none"/>
                <w:lang w:eastAsia="zh-CN"/>
              </w:rPr>
              <w:t>15.38</w:t>
            </w:r>
          </w:p>
        </w:tc>
        <w:tc>
          <w:tcPr>
            <w:tcW w:w="673"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highlight w:val="none"/>
                <w:lang w:eastAsia="zh-CN"/>
              </w:rPr>
            </w:pPr>
            <w:r>
              <w:rPr>
                <w:rFonts w:hint="eastAsia"/>
                <w:color w:val="auto"/>
                <w:highlight w:val="none"/>
                <w:lang w:eastAsia="zh-CN"/>
              </w:rPr>
              <w:t>0.34</w:t>
            </w:r>
          </w:p>
        </w:tc>
        <w:tc>
          <w:tcPr>
            <w:tcW w:w="676"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highlight w:val="none"/>
                <w:lang w:eastAsia="zh-CN"/>
              </w:rPr>
            </w:pPr>
            <w:r>
              <w:rPr>
                <w:rFonts w:hint="eastAsia"/>
                <w:color w:val="auto"/>
                <w:highlight w:val="none"/>
                <w:lang w:eastAsia="zh-CN"/>
              </w:rPr>
              <w:t>5.39</w:t>
            </w:r>
          </w:p>
        </w:tc>
        <w:tc>
          <w:tcPr>
            <w:tcW w:w="539" w:type="dxa"/>
            <w:vAlign w:val="center"/>
          </w:tcPr>
          <w:p>
            <w:pPr>
              <w:pStyle w:val="22"/>
              <w:keepNext w:val="0"/>
              <w:keepLines w:val="0"/>
              <w:pageBreakBefore w:val="0"/>
              <w:kinsoku/>
              <w:wordWrap/>
              <w:overflowPunct/>
              <w:topLinePunct w:val="0"/>
              <w:autoSpaceDE/>
              <w:autoSpaceDN/>
              <w:bidi w:val="0"/>
              <w:adjustRightInd/>
              <w:snapToGrid/>
              <w:spacing w:after="0" w:line="240" w:lineRule="auto"/>
              <w:ind w:left="0" w:leftChars="0" w:right="0" w:rightChars="0" w:firstLine="0" w:firstLineChars="0"/>
              <w:jc w:val="center"/>
              <w:textAlignment w:val="auto"/>
              <w:outlineLvl w:val="9"/>
              <w:rPr>
                <w:rFonts w:hint="eastAsia"/>
                <w:color w:val="auto"/>
                <w:sz w:val="21"/>
                <w:szCs w:val="21"/>
                <w:highlight w:val="none"/>
              </w:rPr>
            </w:pPr>
          </w:p>
        </w:tc>
        <w:tc>
          <w:tcPr>
            <w:tcW w:w="562" w:type="dxa"/>
            <w:vAlign w:val="center"/>
          </w:tcPr>
          <w:p>
            <w:pPr>
              <w:pStyle w:val="22"/>
              <w:keepNext w:val="0"/>
              <w:keepLines w:val="0"/>
              <w:pageBreakBefore w:val="0"/>
              <w:kinsoku/>
              <w:wordWrap/>
              <w:overflowPunct/>
              <w:topLinePunct w:val="0"/>
              <w:autoSpaceDE/>
              <w:autoSpaceDN/>
              <w:bidi w:val="0"/>
              <w:adjustRightInd/>
              <w:snapToGrid/>
              <w:spacing w:after="0" w:line="240" w:lineRule="auto"/>
              <w:ind w:left="0" w:leftChars="0" w:right="0" w:rightChars="0" w:firstLine="0" w:firstLineChars="0"/>
              <w:jc w:val="center"/>
              <w:textAlignment w:val="auto"/>
              <w:outlineLvl w:val="9"/>
              <w:rPr>
                <w:rFonts w:hint="eastAsia"/>
                <w:color w:val="auto"/>
                <w:sz w:val="21"/>
                <w:szCs w:val="21"/>
                <w:highlight w:val="none"/>
              </w:rPr>
            </w:pPr>
            <w:r>
              <w:rPr>
                <w:rFonts w:hint="eastAsia"/>
                <w:color w:val="auto"/>
                <w:sz w:val="21"/>
                <w:szCs w:val="21"/>
                <w:highlight w:val="none"/>
              </w:rPr>
              <w:t>120</w:t>
            </w:r>
          </w:p>
        </w:tc>
        <w:tc>
          <w:tcPr>
            <w:tcW w:w="1192"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rFonts w:hint="eastAsia"/>
                <w:color w:val="auto"/>
                <w:highlight w:val="none"/>
                <w:lang w:eastAsia="zh-CN"/>
              </w:rPr>
              <w:t>350</w:t>
            </w:r>
          </w:p>
        </w:tc>
        <w:tc>
          <w:tcPr>
            <w:tcW w:w="1191"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20～25</w:t>
            </w:r>
          </w:p>
        </w:tc>
        <w:tc>
          <w:tcPr>
            <w:tcW w:w="1172" w:type="dxa"/>
            <w:tcMar>
              <w:top w:w="15" w:type="dxa"/>
              <w:left w:w="28" w:type="dxa"/>
              <w:bottom w:w="0"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12～15</w:t>
            </w:r>
          </w:p>
        </w:tc>
        <w:tc>
          <w:tcPr>
            <w:tcW w:w="921" w:type="dxa"/>
            <w:tcMar>
              <w:top w:w="15" w:type="dxa"/>
              <w:left w:w="28" w:type="dxa"/>
              <w:right w:w="28"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0.</w:t>
            </w:r>
            <w:r>
              <w:rPr>
                <w:rFonts w:hint="eastAsia"/>
                <w:color w:val="auto"/>
                <w:highlight w:val="none"/>
                <w:lang w:eastAsia="zh-CN"/>
              </w:rPr>
              <w:t>2</w:t>
            </w:r>
            <w:r>
              <w:rPr>
                <w:color w:val="auto"/>
                <w:highlight w:val="none"/>
                <w:lang w:eastAsia="zh-CN"/>
              </w:rPr>
              <w:t>5</w:t>
            </w:r>
          </w:p>
        </w:tc>
        <w:tc>
          <w:tcPr>
            <w:tcW w:w="900" w:type="dxa"/>
            <w:tcMar>
              <w:top w:w="15" w:type="dxa"/>
              <w:bottom w:w="0" w:type="dxa"/>
            </w:tcMar>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highlight w:val="none"/>
                <w:lang w:eastAsia="zh-CN"/>
              </w:rPr>
            </w:pPr>
            <w:r>
              <w:rPr>
                <w:rFonts w:hint="eastAsia"/>
                <w:color w:val="auto"/>
                <w:sz w:val="18"/>
                <w:szCs w:val="18"/>
                <w:highlight w:val="none"/>
                <w:lang w:eastAsia="zh-CN"/>
              </w:rPr>
              <w:t>6.5</w:t>
            </w:r>
            <w:r>
              <w:rPr>
                <w:color w:val="auto"/>
                <w:highlight w:val="none"/>
                <w:lang w:eastAsia="zh-CN"/>
              </w:rPr>
              <w:t>×10</w:t>
            </w:r>
            <w:r>
              <w:rPr>
                <w:color w:val="auto"/>
                <w:highlight w:val="none"/>
                <w:vertAlign w:val="superscript"/>
                <w:lang w:eastAsia="zh-CN"/>
              </w:rPr>
              <w:t>-</w:t>
            </w:r>
            <w:r>
              <w:rPr>
                <w:rFonts w:hint="eastAsia"/>
                <w:color w:val="auto"/>
                <w:highlight w:val="none"/>
                <w:vertAlign w:val="superscript"/>
                <w:lang w:eastAsia="zh-CN"/>
              </w:rPr>
              <w:t>5</w:t>
            </w:r>
          </w:p>
        </w:tc>
      </w:tr>
    </w:tbl>
    <w:p>
      <w:pPr>
        <w:ind w:firstLine="199" w:firstLineChars="83"/>
        <w:rPr>
          <w:color w:val="auto"/>
          <w:highlight w:val="none"/>
        </w:rPr>
        <w:sectPr>
          <w:footerReference r:id="rId8" w:type="default"/>
          <w:pgSz w:w="16840" w:h="11907" w:orient="landscape"/>
          <w:pgMar w:top="1418" w:right="1418" w:bottom="1418" w:left="1418" w:header="851" w:footer="992" w:gutter="0"/>
          <w:pgBorders>
            <w:top w:val="none" w:sz="0" w:space="0"/>
            <w:left w:val="none" w:sz="0" w:space="0"/>
            <w:bottom w:val="none" w:sz="0" w:space="0"/>
            <w:right w:val="none" w:sz="0" w:space="0"/>
          </w:pgBorders>
          <w:pgNumType w:fmt="decimal"/>
          <w:cols w:space="720" w:num="1"/>
          <w:docGrid w:type="lines" w:linePitch="326" w:charSpace="0"/>
        </w:sectPr>
      </w:pPr>
    </w:p>
    <w:p>
      <w:pPr>
        <w:pStyle w:val="335"/>
        <w:spacing w:before="120" w:after="120"/>
        <w:rPr>
          <w:rFonts w:hint="eastAsia"/>
          <w:color w:val="auto"/>
          <w:highlight w:val="none"/>
          <w:lang w:val="en-US" w:eastAsia="zh-CN"/>
        </w:rPr>
      </w:pPr>
      <w:bookmarkStart w:id="203" w:name="_Toc109332907"/>
      <w:r>
        <w:rPr>
          <w:rFonts w:hint="eastAsia"/>
          <w:color w:val="auto"/>
          <w:highlight w:val="none"/>
          <w:lang w:val="en-US" w:eastAsia="zh-CN"/>
        </w:rPr>
        <w:t>3.3.2.堤防工程地质条件及评价</w:t>
      </w:r>
      <w:bookmarkEnd w:id="203"/>
    </w:p>
    <w:p>
      <w:pPr>
        <w:ind w:firstLine="480"/>
        <w:rPr>
          <w:rFonts w:hint="eastAsia"/>
          <w:color w:val="auto"/>
          <w:highlight w:val="none"/>
          <w:lang w:val="en-US" w:eastAsia="zh-CN"/>
        </w:rPr>
      </w:pPr>
      <w:bookmarkStart w:id="204" w:name="_Toc109332908"/>
      <w:r>
        <w:rPr>
          <w:rFonts w:hint="eastAsia"/>
          <w:color w:val="auto"/>
          <w:highlight w:val="none"/>
          <w:lang w:val="en-US" w:eastAsia="zh-CN"/>
        </w:rPr>
        <w:t>1、地形地貌条件</w:t>
      </w:r>
      <w:bookmarkEnd w:id="201"/>
      <w:bookmarkEnd w:id="202"/>
      <w:r>
        <w:rPr>
          <w:rFonts w:hint="eastAsia"/>
          <w:color w:val="auto"/>
          <w:highlight w:val="none"/>
          <w:lang w:val="en-US" w:eastAsia="zh-CN"/>
        </w:rPr>
        <w:t>及堤身现状</w:t>
      </w:r>
      <w:bookmarkEnd w:id="204"/>
    </w:p>
    <w:p>
      <w:pPr>
        <w:ind w:firstLine="480"/>
        <w:rPr>
          <w:rFonts w:hint="eastAsia"/>
          <w:color w:val="auto"/>
          <w:highlight w:val="none"/>
        </w:rPr>
      </w:pPr>
      <w:r>
        <w:rPr>
          <w:rFonts w:hint="eastAsia"/>
          <w:color w:val="auto"/>
          <w:highlight w:val="none"/>
        </w:rPr>
        <w:t>本区地处从化区</w:t>
      </w:r>
      <w:r>
        <w:rPr>
          <w:rFonts w:hint="eastAsia"/>
          <w:color w:val="auto"/>
          <w:highlight w:val="none"/>
          <w:lang w:eastAsia="zh-CN"/>
        </w:rPr>
        <w:t>桃莲村</w:t>
      </w:r>
      <w:r>
        <w:rPr>
          <w:rFonts w:hint="eastAsia"/>
          <w:color w:val="auto"/>
          <w:highlight w:val="none"/>
        </w:rPr>
        <w:t>。本流域地貌单元上属丘陵地貌，地形起伏较大，山高约数十米。本区域未发现有规模较大的滑坡、崩塌、泥石流等不良物理地质现象，但由于河流域植被破坏，水土流失较严重，影响到两岸边坡稳定性。</w:t>
      </w:r>
    </w:p>
    <w:p>
      <w:pPr>
        <w:ind w:firstLine="480"/>
        <w:rPr>
          <w:rFonts w:hint="eastAsia"/>
          <w:color w:val="auto"/>
          <w:highlight w:val="none"/>
        </w:rPr>
      </w:pPr>
      <w:r>
        <w:rPr>
          <w:rFonts w:hint="eastAsia"/>
          <w:color w:val="auto"/>
          <w:highlight w:val="none"/>
        </w:rPr>
        <w:t>根据地质测绘及现场勘查，本段堤防堤身单薄、低矮，堤段为自然河岸，河水对堤岸的冲刷较严重，靠河一侧堤段很少有干砌石或浆砌石挡墙护岸。河岸两侧多为</w:t>
      </w:r>
      <w:r>
        <w:rPr>
          <w:rFonts w:hint="eastAsia"/>
          <w:color w:val="auto"/>
          <w:highlight w:val="none"/>
          <w:lang w:val="en-US" w:eastAsia="zh-CN"/>
        </w:rPr>
        <w:t>林地</w:t>
      </w:r>
      <w:r>
        <w:rPr>
          <w:rFonts w:hint="eastAsia"/>
          <w:color w:val="auto"/>
          <w:highlight w:val="none"/>
        </w:rPr>
        <w:t>。</w:t>
      </w:r>
    </w:p>
    <w:p>
      <w:pPr>
        <w:ind w:firstLine="480"/>
        <w:rPr>
          <w:rFonts w:hint="eastAsia"/>
          <w:color w:val="auto"/>
          <w:highlight w:val="none"/>
        </w:rPr>
      </w:pPr>
      <w:r>
        <w:rPr>
          <w:rFonts w:hint="eastAsia"/>
          <w:color w:val="auto"/>
          <w:highlight w:val="none"/>
        </w:rPr>
        <w:t>大堤堤身填土复杂，多为就地取材，主要以风化土、粉、粘粒组成，稍密，属中等透水；特别是堤基广泛分布着强透水的含</w:t>
      </w:r>
      <w:r>
        <w:rPr>
          <w:rFonts w:hint="eastAsia"/>
          <w:color w:val="auto"/>
          <w:highlight w:val="none"/>
          <w:lang w:val="en-US" w:eastAsia="zh-CN"/>
        </w:rPr>
        <w:t>人工填土</w:t>
      </w:r>
      <w:r>
        <w:rPr>
          <w:rFonts w:hint="eastAsia"/>
          <w:color w:val="auto"/>
          <w:highlight w:val="none"/>
        </w:rPr>
        <w:t>地段，堤段透水性相对较强，渗透性较强，存在渗透破坏的隐患。</w:t>
      </w:r>
    </w:p>
    <w:p>
      <w:pPr>
        <w:ind w:firstLine="480"/>
        <w:rPr>
          <w:rFonts w:hint="eastAsia"/>
          <w:color w:val="auto"/>
          <w:highlight w:val="none"/>
          <w:lang w:val="en-US" w:eastAsia="zh-CN"/>
        </w:rPr>
      </w:pPr>
      <w:bookmarkStart w:id="205" w:name="_Toc109332909"/>
      <w:r>
        <w:rPr>
          <w:rFonts w:hint="eastAsia"/>
          <w:color w:val="auto"/>
          <w:highlight w:val="none"/>
          <w:lang w:val="en-US" w:eastAsia="zh-CN"/>
        </w:rPr>
        <w:t>2、堤身质量评价</w:t>
      </w:r>
      <w:bookmarkEnd w:id="205"/>
    </w:p>
    <w:p>
      <w:pPr>
        <w:ind w:firstLine="480"/>
        <w:rPr>
          <w:rFonts w:hint="eastAsia"/>
          <w:color w:val="auto"/>
          <w:highlight w:val="none"/>
          <w:lang w:val="en-US" w:eastAsia="zh-CN"/>
        </w:rPr>
      </w:pPr>
      <w:r>
        <w:rPr>
          <w:rFonts w:hint="eastAsia"/>
          <w:color w:val="auto"/>
          <w:highlight w:val="none"/>
          <w:lang w:val="en-US" w:eastAsia="zh-CN"/>
        </w:rPr>
        <w:t>本次堤段堤身，厚度不大，为原始岸坡，主要以残积粉质黏土为主，局部为田园种植地。沿线岸坡多比较陡，堤段岸坡均为土坡无衬砌，工程堤身表土多较松散，堤顶及无衬砌岸坡多长有杂树杂草且较茂盛，局部见洪水冲刷痕迹，总体而言，堤身、堤岸稳定性较差。堤身现状描述见下表。</w:t>
      </w:r>
    </w:p>
    <w:p>
      <w:pPr>
        <w:ind w:firstLine="480"/>
        <w:jc w:val="center"/>
        <w:rPr>
          <w:rFonts w:hint="eastAsia"/>
          <w:color w:val="auto"/>
          <w:highlight w:val="none"/>
          <w:lang w:val="en-US" w:eastAsia="zh-CN"/>
        </w:rPr>
      </w:pPr>
      <w:r>
        <w:rPr>
          <w:rFonts w:hint="eastAsia"/>
          <w:color w:val="auto"/>
          <w:highlight w:val="none"/>
          <w:lang w:val="en-US" w:eastAsia="zh-CN"/>
        </w:rPr>
        <w:t>表3-6  现状堤身土体分段情况说明</w:t>
      </w:r>
    </w:p>
    <w:tbl>
      <w:tblPr>
        <w:tblStyle w:val="47"/>
        <w:tblW w:w="83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47"/>
        <w:gridCol w:w="423"/>
        <w:gridCol w:w="2113"/>
        <w:gridCol w:w="677"/>
        <w:gridCol w:w="676"/>
        <w:gridCol w:w="592"/>
        <w:gridCol w:w="1183"/>
        <w:gridCol w:w="23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5" w:hRule="atLeast"/>
        </w:trPr>
        <w:tc>
          <w:tcPr>
            <w:tcW w:w="347" w:type="dxa"/>
            <w:tcMar>
              <w:top w:w="15" w:type="dxa"/>
              <w:left w:w="15" w:type="dxa"/>
              <w:bottom w:w="0" w:type="dxa"/>
              <w:right w:w="15" w:type="dxa"/>
            </w:tcMar>
            <w:vAlign w:val="center"/>
          </w:tcPr>
          <w:p>
            <w:pPr>
              <w:pStyle w:val="432"/>
              <w:rPr>
                <w:color w:val="auto"/>
                <w:sz w:val="24"/>
                <w:highlight w:val="none"/>
                <w:lang w:eastAsia="zh-CN"/>
              </w:rPr>
            </w:pPr>
            <w:r>
              <w:rPr>
                <w:color w:val="auto"/>
                <w:highlight w:val="none"/>
                <w:lang w:eastAsia="zh-CN"/>
              </w:rPr>
              <w:t>序号</w:t>
            </w:r>
          </w:p>
        </w:tc>
        <w:tc>
          <w:tcPr>
            <w:tcW w:w="423" w:type="dxa"/>
            <w:tcMar>
              <w:top w:w="15" w:type="dxa"/>
              <w:left w:w="15" w:type="dxa"/>
              <w:bottom w:w="0" w:type="dxa"/>
              <w:right w:w="15" w:type="dxa"/>
            </w:tcMar>
            <w:vAlign w:val="center"/>
          </w:tcPr>
          <w:p>
            <w:pPr>
              <w:pStyle w:val="432"/>
              <w:rPr>
                <w:color w:val="auto"/>
                <w:sz w:val="24"/>
                <w:highlight w:val="none"/>
                <w:lang w:eastAsia="zh-CN"/>
              </w:rPr>
            </w:pPr>
            <w:r>
              <w:rPr>
                <w:color w:val="auto"/>
                <w:highlight w:val="none"/>
                <w:lang w:eastAsia="zh-CN"/>
              </w:rPr>
              <w:t>位置</w:t>
            </w:r>
          </w:p>
        </w:tc>
        <w:tc>
          <w:tcPr>
            <w:tcW w:w="2113" w:type="dxa"/>
            <w:tcMar>
              <w:top w:w="15" w:type="dxa"/>
              <w:left w:w="15" w:type="dxa"/>
              <w:bottom w:w="0" w:type="dxa"/>
              <w:right w:w="15" w:type="dxa"/>
            </w:tcMar>
            <w:vAlign w:val="center"/>
          </w:tcPr>
          <w:p>
            <w:pPr>
              <w:pStyle w:val="432"/>
              <w:rPr>
                <w:color w:val="auto"/>
                <w:sz w:val="24"/>
                <w:highlight w:val="none"/>
                <w:lang w:eastAsia="zh-CN"/>
              </w:rPr>
            </w:pPr>
            <w:r>
              <w:rPr>
                <w:color w:val="auto"/>
                <w:highlight w:val="none"/>
                <w:lang w:eastAsia="zh-CN"/>
              </w:rPr>
              <w:t>桩号（m）</w:t>
            </w:r>
          </w:p>
        </w:tc>
        <w:tc>
          <w:tcPr>
            <w:tcW w:w="677" w:type="dxa"/>
            <w:tcMar>
              <w:top w:w="15" w:type="dxa"/>
              <w:left w:w="15" w:type="dxa"/>
              <w:bottom w:w="0" w:type="dxa"/>
              <w:right w:w="15" w:type="dxa"/>
            </w:tcMar>
            <w:vAlign w:val="center"/>
          </w:tcPr>
          <w:p>
            <w:pPr>
              <w:pStyle w:val="432"/>
              <w:rPr>
                <w:color w:val="auto"/>
                <w:sz w:val="24"/>
                <w:highlight w:val="none"/>
                <w:lang w:eastAsia="zh-CN"/>
              </w:rPr>
            </w:pPr>
            <w:r>
              <w:rPr>
                <w:color w:val="auto"/>
                <w:highlight w:val="none"/>
                <w:lang w:eastAsia="zh-CN"/>
              </w:rPr>
              <w:t>填土类型</w:t>
            </w:r>
          </w:p>
        </w:tc>
        <w:tc>
          <w:tcPr>
            <w:tcW w:w="676" w:type="dxa"/>
            <w:tcMar>
              <w:top w:w="15" w:type="dxa"/>
              <w:left w:w="15" w:type="dxa"/>
              <w:bottom w:w="0" w:type="dxa"/>
              <w:right w:w="15" w:type="dxa"/>
            </w:tcMar>
            <w:vAlign w:val="center"/>
          </w:tcPr>
          <w:p>
            <w:pPr>
              <w:pStyle w:val="432"/>
              <w:rPr>
                <w:color w:val="auto"/>
                <w:sz w:val="24"/>
                <w:highlight w:val="none"/>
                <w:lang w:eastAsia="zh-CN"/>
              </w:rPr>
            </w:pPr>
            <w:r>
              <w:rPr>
                <w:color w:val="auto"/>
                <w:highlight w:val="none"/>
                <w:lang w:eastAsia="zh-CN"/>
              </w:rPr>
              <w:t>堤外坡角</w:t>
            </w:r>
          </w:p>
        </w:tc>
        <w:tc>
          <w:tcPr>
            <w:tcW w:w="592" w:type="dxa"/>
            <w:tcMar>
              <w:top w:w="15" w:type="dxa"/>
              <w:left w:w="15" w:type="dxa"/>
              <w:bottom w:w="0" w:type="dxa"/>
              <w:right w:w="15" w:type="dxa"/>
            </w:tcMar>
            <w:vAlign w:val="center"/>
          </w:tcPr>
          <w:p>
            <w:pPr>
              <w:pStyle w:val="432"/>
              <w:rPr>
                <w:color w:val="auto"/>
                <w:sz w:val="24"/>
                <w:highlight w:val="none"/>
                <w:lang w:eastAsia="zh-CN"/>
              </w:rPr>
            </w:pPr>
            <w:r>
              <w:rPr>
                <w:color w:val="auto"/>
                <w:highlight w:val="none"/>
                <w:lang w:eastAsia="zh-CN"/>
              </w:rPr>
              <w:t>堤内坡角</w:t>
            </w:r>
          </w:p>
        </w:tc>
        <w:tc>
          <w:tcPr>
            <w:tcW w:w="1183" w:type="dxa"/>
            <w:tcMar>
              <w:top w:w="15" w:type="dxa"/>
              <w:left w:w="15" w:type="dxa"/>
              <w:bottom w:w="0" w:type="dxa"/>
              <w:right w:w="15" w:type="dxa"/>
            </w:tcMar>
            <w:vAlign w:val="center"/>
          </w:tcPr>
          <w:p>
            <w:pPr>
              <w:pStyle w:val="432"/>
              <w:rPr>
                <w:color w:val="auto"/>
                <w:sz w:val="24"/>
                <w:highlight w:val="none"/>
                <w:lang w:eastAsia="zh-CN"/>
              </w:rPr>
            </w:pPr>
            <w:r>
              <w:rPr>
                <w:color w:val="auto"/>
                <w:highlight w:val="none"/>
                <w:lang w:eastAsia="zh-CN"/>
              </w:rPr>
              <w:t>堤顶宽度与高程</w:t>
            </w:r>
          </w:p>
        </w:tc>
        <w:tc>
          <w:tcPr>
            <w:tcW w:w="2331" w:type="dxa"/>
            <w:tcMar>
              <w:top w:w="15" w:type="dxa"/>
              <w:left w:w="15" w:type="dxa"/>
              <w:bottom w:w="0" w:type="dxa"/>
              <w:right w:w="15" w:type="dxa"/>
            </w:tcMar>
            <w:vAlign w:val="center"/>
          </w:tcPr>
          <w:p>
            <w:pPr>
              <w:pStyle w:val="432"/>
              <w:rPr>
                <w:color w:val="auto"/>
                <w:sz w:val="24"/>
                <w:highlight w:val="none"/>
                <w:lang w:eastAsia="zh-CN"/>
              </w:rPr>
            </w:pPr>
            <w:r>
              <w:rPr>
                <w:color w:val="auto"/>
                <w:highlight w:val="none"/>
                <w:lang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60" w:hRule="atLeast"/>
        </w:trPr>
        <w:tc>
          <w:tcPr>
            <w:tcW w:w="347" w:type="dxa"/>
            <w:tcMar>
              <w:top w:w="15" w:type="dxa"/>
              <w:left w:w="15" w:type="dxa"/>
              <w:bottom w:w="0" w:type="dxa"/>
              <w:right w:w="15" w:type="dxa"/>
            </w:tcMar>
            <w:vAlign w:val="center"/>
          </w:tcPr>
          <w:p>
            <w:pPr>
              <w:pStyle w:val="432"/>
              <w:rPr>
                <w:color w:val="auto"/>
                <w:sz w:val="24"/>
                <w:highlight w:val="none"/>
                <w:lang w:eastAsia="zh-CN"/>
              </w:rPr>
            </w:pPr>
            <w:r>
              <w:rPr>
                <w:color w:val="auto"/>
                <w:highlight w:val="none"/>
                <w:lang w:eastAsia="zh-CN"/>
              </w:rPr>
              <w:t>1</w:t>
            </w:r>
          </w:p>
        </w:tc>
        <w:tc>
          <w:tcPr>
            <w:tcW w:w="423" w:type="dxa"/>
            <w:tcMar>
              <w:top w:w="15" w:type="dxa"/>
              <w:left w:w="15" w:type="dxa"/>
              <w:bottom w:w="0" w:type="dxa"/>
              <w:right w:w="15" w:type="dxa"/>
            </w:tcMar>
            <w:vAlign w:val="center"/>
          </w:tcPr>
          <w:p>
            <w:pPr>
              <w:pStyle w:val="432"/>
              <w:rPr>
                <w:color w:val="auto"/>
                <w:highlight w:val="none"/>
                <w:lang w:eastAsia="zh-CN"/>
              </w:rPr>
            </w:pPr>
            <w:r>
              <w:rPr>
                <w:color w:val="auto"/>
                <w:highlight w:val="none"/>
                <w:lang w:eastAsia="zh-CN"/>
              </w:rPr>
              <w:t>左岸</w:t>
            </w:r>
          </w:p>
        </w:tc>
        <w:tc>
          <w:tcPr>
            <w:tcW w:w="2113" w:type="dxa"/>
            <w:tcMar>
              <w:top w:w="15" w:type="dxa"/>
              <w:left w:w="15" w:type="dxa"/>
              <w:bottom w:w="0" w:type="dxa"/>
              <w:right w:w="15" w:type="dxa"/>
            </w:tcMar>
            <w:vAlign w:val="center"/>
          </w:tcPr>
          <w:p>
            <w:pPr>
              <w:pStyle w:val="432"/>
              <w:jc w:val="left"/>
              <w:rPr>
                <w:rFonts w:hint="default"/>
                <w:color w:val="auto"/>
                <w:highlight w:val="none"/>
                <w:lang w:val="en-US" w:eastAsia="zh-CN"/>
              </w:rPr>
            </w:pPr>
            <w:r>
              <w:rPr>
                <w:rFonts w:hint="eastAsia"/>
                <w:color w:val="auto"/>
                <w:highlight w:val="none"/>
                <w:lang w:eastAsia="zh-CN"/>
              </w:rPr>
              <w:t>K0+000-K2+</w:t>
            </w:r>
            <w:r>
              <w:rPr>
                <w:rFonts w:hint="eastAsia"/>
                <w:color w:val="auto"/>
                <w:highlight w:val="none"/>
                <w:lang w:val="en-US" w:eastAsia="zh-CN"/>
              </w:rPr>
              <w:t>804</w:t>
            </w:r>
          </w:p>
        </w:tc>
        <w:tc>
          <w:tcPr>
            <w:tcW w:w="677" w:type="dxa"/>
            <w:tcMar>
              <w:top w:w="15" w:type="dxa"/>
              <w:left w:w="15" w:type="dxa"/>
              <w:bottom w:w="0" w:type="dxa"/>
              <w:right w:w="15" w:type="dxa"/>
            </w:tcMar>
            <w:vAlign w:val="center"/>
          </w:tcPr>
          <w:p>
            <w:pPr>
              <w:pStyle w:val="432"/>
              <w:rPr>
                <w:color w:val="auto"/>
                <w:sz w:val="24"/>
                <w:highlight w:val="none"/>
                <w:lang w:eastAsia="zh-CN"/>
              </w:rPr>
            </w:pPr>
            <w:r>
              <w:rPr>
                <w:rFonts w:hint="eastAsia"/>
                <w:color w:val="auto"/>
                <w:highlight w:val="none"/>
                <w:lang w:val="en-US" w:eastAsia="zh-CN"/>
              </w:rPr>
              <w:t>人工填土</w:t>
            </w:r>
            <w:r>
              <w:rPr>
                <w:rFonts w:hint="eastAsia"/>
                <w:color w:val="auto"/>
                <w:highlight w:val="none"/>
                <w:lang w:eastAsia="zh-CN"/>
              </w:rPr>
              <w:t>、</w:t>
            </w:r>
            <w:r>
              <w:rPr>
                <w:color w:val="auto"/>
                <w:highlight w:val="none"/>
                <w:lang w:eastAsia="zh-CN"/>
              </w:rPr>
              <w:t>粉质粘土为主</w:t>
            </w:r>
          </w:p>
        </w:tc>
        <w:tc>
          <w:tcPr>
            <w:tcW w:w="676" w:type="dxa"/>
            <w:tcMar>
              <w:top w:w="15" w:type="dxa"/>
              <w:left w:w="15" w:type="dxa"/>
              <w:bottom w:w="0" w:type="dxa"/>
              <w:right w:w="15" w:type="dxa"/>
            </w:tcMar>
            <w:vAlign w:val="center"/>
          </w:tcPr>
          <w:p>
            <w:pPr>
              <w:pStyle w:val="432"/>
              <w:rPr>
                <w:color w:val="auto"/>
                <w:spacing w:val="-8"/>
                <w:sz w:val="24"/>
                <w:highlight w:val="none"/>
                <w:lang w:eastAsia="zh-CN"/>
              </w:rPr>
            </w:pPr>
            <w:r>
              <w:rPr>
                <w:color w:val="auto"/>
                <w:highlight w:val="none"/>
                <w:lang w:eastAsia="zh-CN"/>
              </w:rPr>
              <w:t>1:1.25～1.5</w:t>
            </w:r>
          </w:p>
        </w:tc>
        <w:tc>
          <w:tcPr>
            <w:tcW w:w="592" w:type="dxa"/>
            <w:tcMar>
              <w:top w:w="15" w:type="dxa"/>
              <w:left w:w="15" w:type="dxa"/>
              <w:bottom w:w="0" w:type="dxa"/>
              <w:right w:w="15" w:type="dxa"/>
            </w:tcMar>
            <w:vAlign w:val="center"/>
          </w:tcPr>
          <w:p>
            <w:pPr>
              <w:pStyle w:val="432"/>
              <w:rPr>
                <w:color w:val="auto"/>
                <w:highlight w:val="none"/>
                <w:lang w:eastAsia="zh-CN"/>
              </w:rPr>
            </w:pPr>
            <w:r>
              <w:rPr>
                <w:color w:val="auto"/>
                <w:highlight w:val="none"/>
                <w:lang w:eastAsia="zh-CN"/>
              </w:rPr>
              <w:t>1:0.5</w:t>
            </w:r>
          </w:p>
        </w:tc>
        <w:tc>
          <w:tcPr>
            <w:tcW w:w="1183" w:type="dxa"/>
            <w:tcMar>
              <w:top w:w="15" w:type="dxa"/>
              <w:left w:w="15" w:type="dxa"/>
              <w:bottom w:w="0" w:type="dxa"/>
              <w:right w:w="15" w:type="dxa"/>
            </w:tcMar>
            <w:vAlign w:val="center"/>
          </w:tcPr>
          <w:p>
            <w:pPr>
              <w:pStyle w:val="432"/>
              <w:jc w:val="left"/>
              <w:rPr>
                <w:color w:val="auto"/>
                <w:highlight w:val="none"/>
                <w:lang w:eastAsia="zh-CN"/>
              </w:rPr>
            </w:pPr>
            <w:r>
              <w:rPr>
                <w:color w:val="auto"/>
                <w:highlight w:val="none"/>
                <w:lang w:eastAsia="zh-CN"/>
              </w:rPr>
              <w:t>宽度</w:t>
            </w:r>
            <w:r>
              <w:rPr>
                <w:rFonts w:hint="eastAsia"/>
                <w:color w:val="auto"/>
                <w:highlight w:val="none"/>
                <w:lang w:eastAsia="zh-CN"/>
              </w:rPr>
              <w:t>1.0</w:t>
            </w:r>
            <w:r>
              <w:rPr>
                <w:color w:val="auto"/>
                <w:highlight w:val="none"/>
                <w:lang w:eastAsia="zh-CN"/>
              </w:rPr>
              <w:t>m～</w:t>
            </w:r>
            <w:r>
              <w:rPr>
                <w:rFonts w:hint="eastAsia"/>
                <w:color w:val="auto"/>
                <w:highlight w:val="none"/>
                <w:lang w:val="en-US" w:eastAsia="zh-CN"/>
              </w:rPr>
              <w:t>3</w:t>
            </w:r>
            <w:r>
              <w:rPr>
                <w:color w:val="auto"/>
                <w:highlight w:val="none"/>
                <w:lang w:eastAsia="zh-CN"/>
              </w:rPr>
              <w:t>.0m，高程</w:t>
            </w:r>
            <w:r>
              <w:rPr>
                <w:rFonts w:hint="eastAsia"/>
                <w:color w:val="auto"/>
                <w:highlight w:val="none"/>
                <w:lang w:val="en-US" w:eastAsia="zh-CN"/>
              </w:rPr>
              <w:t>90</w:t>
            </w:r>
            <w:r>
              <w:rPr>
                <w:color w:val="auto"/>
                <w:highlight w:val="none"/>
                <w:lang w:eastAsia="zh-CN"/>
              </w:rPr>
              <w:t>m～</w:t>
            </w:r>
            <w:r>
              <w:rPr>
                <w:rFonts w:hint="eastAsia"/>
                <w:color w:val="auto"/>
                <w:highlight w:val="none"/>
                <w:lang w:val="en-US" w:eastAsia="zh-CN"/>
              </w:rPr>
              <w:t>96</w:t>
            </w:r>
            <w:r>
              <w:rPr>
                <w:color w:val="auto"/>
                <w:highlight w:val="none"/>
                <w:lang w:eastAsia="zh-CN"/>
              </w:rPr>
              <w:t>m</w:t>
            </w:r>
          </w:p>
        </w:tc>
        <w:tc>
          <w:tcPr>
            <w:tcW w:w="2331" w:type="dxa"/>
            <w:tcMar>
              <w:top w:w="15" w:type="dxa"/>
              <w:left w:w="15" w:type="dxa"/>
              <w:bottom w:w="0" w:type="dxa"/>
              <w:right w:w="15" w:type="dxa"/>
            </w:tcMar>
            <w:vAlign w:val="center"/>
          </w:tcPr>
          <w:p>
            <w:pPr>
              <w:pStyle w:val="432"/>
              <w:jc w:val="both"/>
              <w:rPr>
                <w:color w:val="auto"/>
                <w:highlight w:val="none"/>
                <w:lang w:eastAsia="zh-CN"/>
              </w:rPr>
            </w:pPr>
            <w:r>
              <w:rPr>
                <w:color w:val="auto"/>
                <w:highlight w:val="none"/>
                <w:lang w:eastAsia="zh-CN"/>
              </w:rPr>
              <w:t>多处转弯，左岸多为</w:t>
            </w:r>
            <w:r>
              <w:rPr>
                <w:rFonts w:hint="eastAsia"/>
                <w:color w:val="auto"/>
                <w:highlight w:val="none"/>
                <w:lang w:eastAsia="zh-CN"/>
              </w:rPr>
              <w:t>山</w:t>
            </w:r>
            <w:r>
              <w:rPr>
                <w:color w:val="auto"/>
                <w:highlight w:val="none"/>
                <w:lang w:eastAsia="zh-CN"/>
              </w:rPr>
              <w:t>地，堤顶、堤岸长有杂树杂草，岸坡较陡无衬砌。</w:t>
            </w:r>
            <w:r>
              <w:rPr>
                <w:color w:val="auto"/>
                <w:sz w:val="24"/>
                <w:highlight w:val="none"/>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00" w:hRule="atLeast"/>
        </w:trPr>
        <w:tc>
          <w:tcPr>
            <w:tcW w:w="347" w:type="dxa"/>
            <w:tcMar>
              <w:top w:w="15" w:type="dxa"/>
              <w:left w:w="15" w:type="dxa"/>
              <w:bottom w:w="0" w:type="dxa"/>
              <w:right w:w="15" w:type="dxa"/>
            </w:tcMar>
            <w:vAlign w:val="center"/>
          </w:tcPr>
          <w:p>
            <w:pPr>
              <w:pStyle w:val="432"/>
              <w:rPr>
                <w:color w:val="auto"/>
                <w:sz w:val="24"/>
                <w:highlight w:val="none"/>
                <w:lang w:val="en-US" w:eastAsia="zh-CN"/>
              </w:rPr>
            </w:pPr>
            <w:r>
              <w:rPr>
                <w:rFonts w:hint="eastAsia"/>
                <w:color w:val="auto"/>
                <w:sz w:val="24"/>
                <w:highlight w:val="none"/>
                <w:lang w:val="en-US" w:eastAsia="zh-CN"/>
              </w:rPr>
              <w:t>2</w:t>
            </w:r>
          </w:p>
        </w:tc>
        <w:tc>
          <w:tcPr>
            <w:tcW w:w="423" w:type="dxa"/>
            <w:tcMar>
              <w:top w:w="15" w:type="dxa"/>
              <w:left w:w="15" w:type="dxa"/>
              <w:bottom w:w="0" w:type="dxa"/>
              <w:right w:w="15" w:type="dxa"/>
            </w:tcMar>
            <w:vAlign w:val="center"/>
          </w:tcPr>
          <w:p>
            <w:pPr>
              <w:pStyle w:val="432"/>
              <w:rPr>
                <w:color w:val="auto"/>
                <w:highlight w:val="none"/>
                <w:lang w:eastAsia="zh-CN"/>
              </w:rPr>
            </w:pPr>
            <w:r>
              <w:rPr>
                <w:color w:val="auto"/>
                <w:highlight w:val="none"/>
                <w:lang w:eastAsia="zh-CN"/>
              </w:rPr>
              <w:t>右岸</w:t>
            </w:r>
          </w:p>
        </w:tc>
        <w:tc>
          <w:tcPr>
            <w:tcW w:w="2113" w:type="dxa"/>
            <w:tcMar>
              <w:top w:w="15" w:type="dxa"/>
              <w:left w:w="15" w:type="dxa"/>
              <w:bottom w:w="0" w:type="dxa"/>
              <w:right w:w="15" w:type="dxa"/>
            </w:tcMar>
            <w:vAlign w:val="center"/>
          </w:tcPr>
          <w:p>
            <w:pPr>
              <w:pStyle w:val="432"/>
              <w:jc w:val="left"/>
              <w:rPr>
                <w:rFonts w:hint="default"/>
                <w:color w:val="auto"/>
                <w:highlight w:val="none"/>
                <w:lang w:val="en-US" w:eastAsia="zh-CN"/>
              </w:rPr>
            </w:pPr>
            <w:r>
              <w:rPr>
                <w:rFonts w:hint="eastAsia"/>
                <w:color w:val="auto"/>
                <w:highlight w:val="none"/>
                <w:lang w:eastAsia="zh-CN"/>
              </w:rPr>
              <w:t>K0+000-K2+</w:t>
            </w:r>
            <w:r>
              <w:rPr>
                <w:rFonts w:hint="eastAsia"/>
                <w:color w:val="auto"/>
                <w:highlight w:val="none"/>
                <w:lang w:val="en-US" w:eastAsia="zh-CN"/>
              </w:rPr>
              <w:t>804</w:t>
            </w:r>
          </w:p>
        </w:tc>
        <w:tc>
          <w:tcPr>
            <w:tcW w:w="677" w:type="dxa"/>
            <w:tcMar>
              <w:top w:w="15" w:type="dxa"/>
              <w:left w:w="15" w:type="dxa"/>
              <w:bottom w:w="0" w:type="dxa"/>
              <w:right w:w="15" w:type="dxa"/>
            </w:tcMar>
            <w:vAlign w:val="center"/>
          </w:tcPr>
          <w:p>
            <w:pPr>
              <w:pStyle w:val="432"/>
              <w:rPr>
                <w:b/>
                <w:color w:val="auto"/>
                <w:sz w:val="24"/>
                <w:highlight w:val="none"/>
                <w:lang w:eastAsia="zh-CN"/>
              </w:rPr>
            </w:pPr>
            <w:r>
              <w:rPr>
                <w:rFonts w:hint="eastAsia"/>
                <w:color w:val="auto"/>
                <w:highlight w:val="none"/>
                <w:lang w:val="en-US" w:eastAsia="zh-CN"/>
              </w:rPr>
              <w:t>人工填土</w:t>
            </w:r>
            <w:r>
              <w:rPr>
                <w:rFonts w:hint="eastAsia"/>
                <w:color w:val="auto"/>
                <w:highlight w:val="none"/>
                <w:lang w:eastAsia="zh-CN"/>
              </w:rPr>
              <w:t>、</w:t>
            </w:r>
            <w:r>
              <w:rPr>
                <w:color w:val="auto"/>
                <w:highlight w:val="none"/>
                <w:lang w:eastAsia="zh-CN"/>
              </w:rPr>
              <w:t>粉质粘土为主</w:t>
            </w:r>
          </w:p>
        </w:tc>
        <w:tc>
          <w:tcPr>
            <w:tcW w:w="676" w:type="dxa"/>
            <w:tcMar>
              <w:top w:w="15" w:type="dxa"/>
              <w:left w:w="15" w:type="dxa"/>
              <w:bottom w:w="0" w:type="dxa"/>
              <w:right w:w="15" w:type="dxa"/>
            </w:tcMar>
            <w:vAlign w:val="center"/>
          </w:tcPr>
          <w:p>
            <w:pPr>
              <w:pStyle w:val="432"/>
              <w:rPr>
                <w:color w:val="auto"/>
                <w:spacing w:val="-8"/>
                <w:sz w:val="24"/>
                <w:highlight w:val="none"/>
                <w:lang w:eastAsia="zh-CN"/>
              </w:rPr>
            </w:pPr>
            <w:r>
              <w:rPr>
                <w:color w:val="auto"/>
                <w:highlight w:val="none"/>
                <w:lang w:eastAsia="zh-CN"/>
              </w:rPr>
              <w:t>1:1.25～1.5</w:t>
            </w:r>
          </w:p>
        </w:tc>
        <w:tc>
          <w:tcPr>
            <w:tcW w:w="592" w:type="dxa"/>
            <w:tcMar>
              <w:top w:w="15" w:type="dxa"/>
              <w:left w:w="15" w:type="dxa"/>
              <w:bottom w:w="0" w:type="dxa"/>
              <w:right w:w="15" w:type="dxa"/>
            </w:tcMar>
            <w:vAlign w:val="center"/>
          </w:tcPr>
          <w:p>
            <w:pPr>
              <w:pStyle w:val="432"/>
              <w:rPr>
                <w:color w:val="auto"/>
                <w:highlight w:val="none"/>
                <w:lang w:eastAsia="zh-CN"/>
              </w:rPr>
            </w:pPr>
            <w:r>
              <w:rPr>
                <w:color w:val="auto"/>
                <w:highlight w:val="none"/>
                <w:lang w:eastAsia="zh-CN"/>
              </w:rPr>
              <w:t>1:</w:t>
            </w:r>
            <w:r>
              <w:rPr>
                <w:rFonts w:hint="eastAsia"/>
                <w:color w:val="auto"/>
                <w:highlight w:val="none"/>
                <w:lang w:eastAsia="zh-CN"/>
              </w:rPr>
              <w:t>0.5</w:t>
            </w:r>
          </w:p>
        </w:tc>
        <w:tc>
          <w:tcPr>
            <w:tcW w:w="1183" w:type="dxa"/>
            <w:tcMar>
              <w:top w:w="15" w:type="dxa"/>
              <w:left w:w="15" w:type="dxa"/>
              <w:bottom w:w="0" w:type="dxa"/>
              <w:right w:w="15" w:type="dxa"/>
            </w:tcMar>
            <w:vAlign w:val="center"/>
          </w:tcPr>
          <w:p>
            <w:pPr>
              <w:pStyle w:val="432"/>
              <w:jc w:val="left"/>
              <w:rPr>
                <w:color w:val="auto"/>
                <w:highlight w:val="none"/>
                <w:lang w:eastAsia="zh-CN"/>
              </w:rPr>
            </w:pPr>
            <w:r>
              <w:rPr>
                <w:color w:val="auto"/>
                <w:highlight w:val="none"/>
                <w:lang w:eastAsia="zh-CN"/>
              </w:rPr>
              <w:t>宽度1.</w:t>
            </w:r>
            <w:r>
              <w:rPr>
                <w:rFonts w:hint="eastAsia"/>
                <w:color w:val="auto"/>
                <w:highlight w:val="none"/>
                <w:lang w:val="en-US" w:eastAsia="zh-CN"/>
              </w:rPr>
              <w:t>5</w:t>
            </w:r>
            <w:r>
              <w:rPr>
                <w:color w:val="auto"/>
                <w:highlight w:val="none"/>
                <w:lang w:eastAsia="zh-CN"/>
              </w:rPr>
              <w:t>m～</w:t>
            </w:r>
            <w:r>
              <w:rPr>
                <w:rFonts w:hint="eastAsia"/>
                <w:color w:val="auto"/>
                <w:highlight w:val="none"/>
                <w:lang w:val="en-US" w:eastAsia="zh-CN"/>
              </w:rPr>
              <w:t>3.0</w:t>
            </w:r>
            <w:r>
              <w:rPr>
                <w:color w:val="auto"/>
                <w:highlight w:val="none"/>
                <w:lang w:eastAsia="zh-CN"/>
              </w:rPr>
              <w:t>m，高程</w:t>
            </w:r>
            <w:r>
              <w:rPr>
                <w:rFonts w:hint="eastAsia"/>
                <w:color w:val="auto"/>
                <w:highlight w:val="none"/>
                <w:lang w:val="en-US" w:eastAsia="zh-CN"/>
              </w:rPr>
              <w:t>90</w:t>
            </w:r>
            <w:r>
              <w:rPr>
                <w:color w:val="auto"/>
                <w:highlight w:val="none"/>
                <w:lang w:eastAsia="zh-CN"/>
              </w:rPr>
              <w:t>m～</w:t>
            </w:r>
            <w:r>
              <w:rPr>
                <w:rFonts w:hint="eastAsia"/>
                <w:color w:val="auto"/>
                <w:highlight w:val="none"/>
                <w:lang w:val="en-US" w:eastAsia="zh-CN"/>
              </w:rPr>
              <w:t>97</w:t>
            </w:r>
            <w:r>
              <w:rPr>
                <w:color w:val="auto"/>
                <w:highlight w:val="none"/>
                <w:lang w:eastAsia="zh-CN"/>
              </w:rPr>
              <w:t>m</w:t>
            </w:r>
          </w:p>
        </w:tc>
        <w:tc>
          <w:tcPr>
            <w:tcW w:w="2331" w:type="dxa"/>
            <w:tcMar>
              <w:top w:w="15" w:type="dxa"/>
              <w:left w:w="15" w:type="dxa"/>
              <w:bottom w:w="0" w:type="dxa"/>
              <w:right w:w="15" w:type="dxa"/>
            </w:tcMar>
            <w:vAlign w:val="center"/>
          </w:tcPr>
          <w:p>
            <w:pPr>
              <w:pStyle w:val="432"/>
              <w:jc w:val="both"/>
              <w:rPr>
                <w:color w:val="auto"/>
                <w:highlight w:val="none"/>
                <w:lang w:eastAsia="zh-CN"/>
              </w:rPr>
            </w:pPr>
            <w:r>
              <w:rPr>
                <w:color w:val="auto"/>
                <w:highlight w:val="none"/>
                <w:lang w:eastAsia="zh-CN"/>
              </w:rPr>
              <w:t>多处转弯，右岸多为</w:t>
            </w:r>
            <w:r>
              <w:rPr>
                <w:rFonts w:hint="eastAsia"/>
                <w:color w:val="auto"/>
                <w:highlight w:val="none"/>
                <w:lang w:eastAsia="zh-CN"/>
              </w:rPr>
              <w:t>山</w:t>
            </w:r>
            <w:r>
              <w:rPr>
                <w:color w:val="auto"/>
                <w:highlight w:val="none"/>
                <w:lang w:eastAsia="zh-CN"/>
              </w:rPr>
              <w:t>地，堤顶、堤岸长有杂树杂草，岸坡较陡无衬砌。</w:t>
            </w:r>
            <w:r>
              <w:rPr>
                <w:color w:val="auto"/>
                <w:sz w:val="24"/>
                <w:highlight w:val="none"/>
                <w:lang w:eastAsia="zh-CN"/>
              </w:rPr>
              <w:t xml:space="preserve"> </w:t>
            </w:r>
          </w:p>
        </w:tc>
      </w:tr>
    </w:tbl>
    <w:p>
      <w:pPr>
        <w:spacing w:line="480" w:lineRule="atLeast"/>
        <w:rPr>
          <w:color w:val="auto"/>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type="lines" w:linePitch="326" w:charSpace="0"/>
        </w:sectPr>
      </w:pPr>
    </w:p>
    <w:p>
      <w:pPr>
        <w:pStyle w:val="335"/>
        <w:spacing w:before="120" w:after="120"/>
        <w:rPr>
          <w:rFonts w:hint="eastAsia"/>
          <w:color w:val="auto"/>
          <w:highlight w:val="none"/>
          <w:lang w:val="en-US" w:eastAsia="zh-CN"/>
        </w:rPr>
      </w:pPr>
      <w:bookmarkStart w:id="206" w:name="_Toc109332910"/>
      <w:r>
        <w:rPr>
          <w:rFonts w:hint="eastAsia"/>
          <w:color w:val="auto"/>
          <w:highlight w:val="none"/>
          <w:lang w:val="en-US" w:eastAsia="zh-CN"/>
        </w:rPr>
        <w:t>3.3.3 堤岸稳定性评价</w:t>
      </w:r>
      <w:bookmarkEnd w:id="206"/>
      <w:r>
        <w:rPr>
          <w:rFonts w:hint="eastAsia"/>
          <w:color w:val="auto"/>
          <w:highlight w:val="none"/>
          <w:lang w:val="en-US" w:eastAsia="zh-CN"/>
        </w:rPr>
        <w:tab/>
      </w:r>
    </w:p>
    <w:p>
      <w:pPr>
        <w:ind w:firstLine="480"/>
        <w:rPr>
          <w:rFonts w:hint="eastAsia"/>
          <w:color w:val="auto"/>
          <w:highlight w:val="none"/>
          <w:lang w:val="en-US" w:eastAsia="zh-CN"/>
        </w:rPr>
      </w:pPr>
      <w:r>
        <w:rPr>
          <w:rFonts w:hint="eastAsia"/>
          <w:color w:val="auto"/>
          <w:highlight w:val="none"/>
          <w:lang w:val="en-US" w:eastAsia="zh-CN"/>
        </w:rPr>
        <w:t>根据对现状的堤岸岸坡的调查，河道两岸基本为原始堤防，堤身填土主要以砂砾、粉质粘土、砂质粘土填筑而成。由于原堤防设防标准较低、堤身填筑时无法做到分层填筑碾压压实等原因，部分堤段堤顶、堤岸见冲刷痕迹，堤岸稳定性较差。各堤段堤岸稳定评价见下表。</w:t>
      </w:r>
    </w:p>
    <w:p>
      <w:pPr>
        <w:ind w:left="0" w:leftChars="0" w:firstLine="0" w:firstLineChars="0"/>
        <w:jc w:val="center"/>
        <w:rPr>
          <w:rFonts w:hint="eastAsia"/>
          <w:color w:val="auto"/>
          <w:highlight w:val="none"/>
          <w:lang w:val="en-US" w:eastAsia="zh-CN"/>
        </w:rPr>
      </w:pPr>
      <w:r>
        <w:rPr>
          <w:rFonts w:hint="eastAsia"/>
          <w:color w:val="auto"/>
          <w:highlight w:val="none"/>
          <w:lang w:val="en-US" w:eastAsia="zh-CN"/>
        </w:rPr>
        <w:t>表3-7 堤岸稳定性评价</w:t>
      </w:r>
    </w:p>
    <w:tbl>
      <w:tblPr>
        <w:tblStyle w:val="47"/>
        <w:tblW w:w="90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1039"/>
        <w:gridCol w:w="2514"/>
        <w:gridCol w:w="1213"/>
        <w:gridCol w:w="1668"/>
        <w:gridCol w:w="1214"/>
        <w:gridCol w:w="1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38" w:hRule="atLeast"/>
          <w:jc w:val="center"/>
        </w:trPr>
        <w:tc>
          <w:tcPr>
            <w:tcW w:w="1039" w:type="dxa"/>
            <w:vAlign w:val="center"/>
          </w:tcPr>
          <w:p>
            <w:pPr>
              <w:pStyle w:val="432"/>
              <w:keepNext w:val="0"/>
              <w:keepLines w:val="0"/>
              <w:pageBreakBefore w:val="0"/>
              <w:kinsoku/>
              <w:wordWrap/>
              <w:overflowPunct/>
              <w:topLinePunct w:val="0"/>
              <w:autoSpaceDE/>
              <w:autoSpaceDN/>
              <w:bidi w:val="0"/>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稳定性</w:t>
            </w:r>
          </w:p>
          <w:p>
            <w:pPr>
              <w:pStyle w:val="432"/>
              <w:keepNext w:val="0"/>
              <w:keepLines w:val="0"/>
              <w:pageBreakBefore w:val="0"/>
              <w:kinsoku/>
              <w:wordWrap/>
              <w:overflowPunct/>
              <w:topLinePunct w:val="0"/>
              <w:autoSpaceDE/>
              <w:autoSpaceDN/>
              <w:bidi w:val="0"/>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评价</w:t>
            </w:r>
          </w:p>
        </w:tc>
        <w:tc>
          <w:tcPr>
            <w:tcW w:w="2514" w:type="dxa"/>
            <w:vAlign w:val="center"/>
          </w:tcPr>
          <w:p>
            <w:pPr>
              <w:pStyle w:val="432"/>
              <w:keepNext w:val="0"/>
              <w:keepLines w:val="0"/>
              <w:pageBreakBefore w:val="0"/>
              <w:kinsoku/>
              <w:wordWrap/>
              <w:overflowPunct/>
              <w:topLinePunct w:val="0"/>
              <w:autoSpaceDE/>
              <w:autoSpaceDN/>
              <w:bidi w:val="0"/>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位置桩号</w:t>
            </w:r>
          </w:p>
          <w:p>
            <w:pPr>
              <w:pStyle w:val="432"/>
              <w:keepNext w:val="0"/>
              <w:keepLines w:val="0"/>
              <w:pageBreakBefore w:val="0"/>
              <w:kinsoku/>
              <w:wordWrap/>
              <w:overflowPunct/>
              <w:topLinePunct w:val="0"/>
              <w:autoSpaceDE/>
              <w:autoSpaceDN/>
              <w:bidi w:val="0"/>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（m）</w:t>
            </w:r>
          </w:p>
        </w:tc>
        <w:tc>
          <w:tcPr>
            <w:tcW w:w="1213" w:type="dxa"/>
            <w:vAlign w:val="center"/>
          </w:tcPr>
          <w:p>
            <w:pPr>
              <w:pStyle w:val="432"/>
              <w:keepNext w:val="0"/>
              <w:keepLines w:val="0"/>
              <w:pageBreakBefore w:val="0"/>
              <w:kinsoku/>
              <w:wordWrap/>
              <w:overflowPunct/>
              <w:topLinePunct w:val="0"/>
              <w:autoSpaceDE/>
              <w:autoSpaceDN/>
              <w:bidi w:val="0"/>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堤身现状</w:t>
            </w:r>
          </w:p>
        </w:tc>
        <w:tc>
          <w:tcPr>
            <w:tcW w:w="1668" w:type="dxa"/>
            <w:vAlign w:val="center"/>
          </w:tcPr>
          <w:p>
            <w:pPr>
              <w:pStyle w:val="432"/>
              <w:keepNext w:val="0"/>
              <w:keepLines w:val="0"/>
              <w:pageBreakBefore w:val="0"/>
              <w:kinsoku/>
              <w:wordWrap/>
              <w:overflowPunct/>
              <w:topLinePunct w:val="0"/>
              <w:autoSpaceDE/>
              <w:autoSpaceDN/>
              <w:bidi w:val="0"/>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岸坡现状</w:t>
            </w:r>
          </w:p>
        </w:tc>
        <w:tc>
          <w:tcPr>
            <w:tcW w:w="1214" w:type="dxa"/>
            <w:vAlign w:val="center"/>
          </w:tcPr>
          <w:p>
            <w:pPr>
              <w:pStyle w:val="432"/>
              <w:keepNext w:val="0"/>
              <w:keepLines w:val="0"/>
              <w:pageBreakBefore w:val="0"/>
              <w:kinsoku/>
              <w:wordWrap/>
              <w:overflowPunct/>
              <w:topLinePunct w:val="0"/>
              <w:autoSpaceDE/>
              <w:autoSpaceDN/>
              <w:bidi w:val="0"/>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水流条件</w:t>
            </w:r>
          </w:p>
        </w:tc>
        <w:tc>
          <w:tcPr>
            <w:tcW w:w="1368" w:type="dxa"/>
            <w:vAlign w:val="center"/>
          </w:tcPr>
          <w:p>
            <w:pPr>
              <w:pStyle w:val="432"/>
              <w:keepNext w:val="0"/>
              <w:keepLines w:val="0"/>
              <w:pageBreakBefore w:val="0"/>
              <w:kinsoku/>
              <w:wordWrap/>
              <w:overflowPunct/>
              <w:topLinePunct w:val="0"/>
              <w:autoSpaceDE/>
              <w:autoSpaceDN/>
              <w:bidi w:val="0"/>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堤基表层土性状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1358" w:hRule="atLeast"/>
          <w:jc w:val="center"/>
        </w:trPr>
        <w:tc>
          <w:tcPr>
            <w:tcW w:w="1039" w:type="dxa"/>
            <w:tcBorders>
              <w:bottom w:val="single" w:color="auto" w:sz="4" w:space="0"/>
            </w:tcBorders>
            <w:vAlign w:val="center"/>
          </w:tcPr>
          <w:p>
            <w:pPr>
              <w:pStyle w:val="432"/>
              <w:keepNext w:val="0"/>
              <w:keepLines w:val="0"/>
              <w:pageBreakBefore w:val="0"/>
              <w:kinsoku/>
              <w:wordWrap/>
              <w:overflowPunct/>
              <w:topLinePunct w:val="0"/>
              <w:autoSpaceDE/>
              <w:autoSpaceDN/>
              <w:bidi w:val="0"/>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稳定性</w:t>
            </w:r>
          </w:p>
          <w:p>
            <w:pPr>
              <w:pStyle w:val="432"/>
              <w:keepNext w:val="0"/>
              <w:keepLines w:val="0"/>
              <w:pageBreakBefore w:val="0"/>
              <w:kinsoku/>
              <w:wordWrap/>
              <w:overflowPunct/>
              <w:topLinePunct w:val="0"/>
              <w:autoSpaceDE/>
              <w:autoSpaceDN/>
              <w:bidi w:val="0"/>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较差</w:t>
            </w:r>
          </w:p>
        </w:tc>
        <w:tc>
          <w:tcPr>
            <w:tcW w:w="2514" w:type="dxa"/>
            <w:tcBorders>
              <w:bottom w:val="single" w:color="auto" w:sz="4" w:space="0"/>
            </w:tcBorders>
            <w:vAlign w:val="center"/>
          </w:tcPr>
          <w:p>
            <w:pPr>
              <w:pStyle w:val="432"/>
              <w:keepNext w:val="0"/>
              <w:keepLines w:val="0"/>
              <w:pageBreakBefore w:val="0"/>
              <w:kinsoku/>
              <w:wordWrap/>
              <w:overflowPunct/>
              <w:topLinePunct w:val="0"/>
              <w:autoSpaceDE/>
              <w:autoSpaceDN/>
              <w:bidi w:val="0"/>
              <w:spacing w:line="240" w:lineRule="auto"/>
              <w:ind w:left="0" w:leftChars="0" w:right="0" w:rightChars="0" w:firstLine="0" w:firstLineChars="0"/>
              <w:jc w:val="center"/>
              <w:textAlignment w:val="auto"/>
              <w:outlineLvl w:val="9"/>
              <w:rPr>
                <w:rFonts w:hint="default"/>
                <w:color w:val="auto"/>
                <w:highlight w:val="none"/>
                <w:lang w:val="en-US" w:eastAsia="zh-CN"/>
              </w:rPr>
            </w:pPr>
            <w:r>
              <w:rPr>
                <w:rFonts w:hint="eastAsia"/>
                <w:color w:val="auto"/>
                <w:highlight w:val="none"/>
                <w:lang w:eastAsia="zh-CN"/>
              </w:rPr>
              <w:t>K0+000-K2+</w:t>
            </w:r>
            <w:r>
              <w:rPr>
                <w:rFonts w:hint="eastAsia"/>
                <w:color w:val="auto"/>
                <w:highlight w:val="none"/>
                <w:lang w:val="en-US" w:eastAsia="zh-CN"/>
              </w:rPr>
              <w:t>804</w:t>
            </w:r>
          </w:p>
        </w:tc>
        <w:tc>
          <w:tcPr>
            <w:tcW w:w="1213" w:type="dxa"/>
            <w:tcBorders>
              <w:bottom w:val="single" w:color="auto" w:sz="4" w:space="0"/>
            </w:tcBorders>
            <w:vAlign w:val="center"/>
          </w:tcPr>
          <w:p>
            <w:pPr>
              <w:pStyle w:val="432"/>
              <w:keepNext w:val="0"/>
              <w:keepLines w:val="0"/>
              <w:pageBreakBefore w:val="0"/>
              <w:kinsoku/>
              <w:wordWrap/>
              <w:overflowPunct/>
              <w:topLinePunct w:val="0"/>
              <w:autoSpaceDE/>
              <w:autoSpaceDN/>
              <w:bidi w:val="0"/>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粘性土堤</w:t>
            </w:r>
          </w:p>
        </w:tc>
        <w:tc>
          <w:tcPr>
            <w:tcW w:w="1668" w:type="dxa"/>
            <w:tcBorders>
              <w:bottom w:val="single" w:color="auto" w:sz="4" w:space="0"/>
            </w:tcBorders>
            <w:vAlign w:val="center"/>
          </w:tcPr>
          <w:p>
            <w:pPr>
              <w:pStyle w:val="432"/>
              <w:keepNext w:val="0"/>
              <w:keepLines w:val="0"/>
              <w:pageBreakBefore w:val="0"/>
              <w:kinsoku/>
              <w:wordWrap/>
              <w:overflowPunct/>
              <w:topLinePunct w:val="0"/>
              <w:autoSpaceDE/>
              <w:autoSpaceDN/>
              <w:bidi w:val="0"/>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外滩窄或无，无衬砌，岸顶岸坡堆有垃圾，长有杂树杂草</w:t>
            </w:r>
          </w:p>
        </w:tc>
        <w:tc>
          <w:tcPr>
            <w:tcW w:w="1214" w:type="dxa"/>
            <w:tcBorders>
              <w:bottom w:val="single" w:color="auto" w:sz="4" w:space="0"/>
            </w:tcBorders>
            <w:vAlign w:val="center"/>
          </w:tcPr>
          <w:p>
            <w:pPr>
              <w:pStyle w:val="432"/>
              <w:keepNext w:val="0"/>
              <w:keepLines w:val="0"/>
              <w:pageBreakBefore w:val="0"/>
              <w:kinsoku/>
              <w:wordWrap/>
              <w:overflowPunct/>
              <w:topLinePunct w:val="0"/>
              <w:autoSpaceDE/>
              <w:autoSpaceDN/>
              <w:bidi w:val="0"/>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河流直接与堤身接触，水流作用稍强。</w:t>
            </w:r>
          </w:p>
        </w:tc>
        <w:tc>
          <w:tcPr>
            <w:tcW w:w="1368" w:type="dxa"/>
            <w:tcBorders>
              <w:bottom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szCs w:val="21"/>
                <w:highlight w:val="none"/>
              </w:rPr>
            </w:pPr>
            <w:r>
              <w:rPr>
                <w:snapToGrid w:val="0"/>
                <w:color w:val="auto"/>
                <w:kern w:val="0"/>
                <w:szCs w:val="21"/>
                <w:highlight w:val="none"/>
              </w:rPr>
              <w:t>表层为薄层粘性土或堤基直接座在砂层上</w:t>
            </w:r>
          </w:p>
        </w:tc>
      </w:tr>
    </w:tbl>
    <w:p>
      <w:pPr>
        <w:pStyle w:val="335"/>
        <w:spacing w:before="120" w:after="120"/>
        <w:rPr>
          <w:rFonts w:hint="eastAsia"/>
          <w:color w:val="auto"/>
          <w:highlight w:val="none"/>
          <w:lang w:val="en-US" w:eastAsia="zh-CN"/>
        </w:rPr>
      </w:pPr>
      <w:bookmarkStart w:id="207" w:name="_Toc109332911"/>
      <w:bookmarkStart w:id="208" w:name="_Toc277603435"/>
      <w:r>
        <w:rPr>
          <w:rFonts w:hint="eastAsia"/>
          <w:color w:val="auto"/>
          <w:highlight w:val="none"/>
          <w:lang w:val="en-US" w:eastAsia="zh-CN"/>
        </w:rPr>
        <w:t>3.3.4 堤基地层结构及分类</w:t>
      </w:r>
      <w:bookmarkEnd w:id="207"/>
      <w:bookmarkEnd w:id="208"/>
    </w:p>
    <w:p>
      <w:pPr>
        <w:ind w:firstLine="480"/>
        <w:rPr>
          <w:rFonts w:hint="eastAsia"/>
          <w:color w:val="auto"/>
          <w:highlight w:val="none"/>
          <w:lang w:val="en-US" w:eastAsia="zh-CN"/>
        </w:rPr>
      </w:pPr>
      <w:r>
        <w:rPr>
          <w:rFonts w:hint="eastAsia"/>
          <w:color w:val="auto"/>
          <w:highlight w:val="none"/>
          <w:lang w:val="en-US" w:eastAsia="zh-CN"/>
        </w:rPr>
        <w:t>根据勘察深度范围揭露的堤基地层，按《堤防工程地质勘察规程》（SL188-2005）附录C内容，并根据堤顶高程，估算堤基影响深度内的岩土体分布与组合关系，将堤基地层结构分为3大类；各类堤基地层结构分类标准见下表。</w:t>
      </w:r>
    </w:p>
    <w:p>
      <w:pPr>
        <w:ind w:left="0" w:leftChars="0" w:firstLine="0" w:firstLineChars="0"/>
        <w:jc w:val="center"/>
        <w:rPr>
          <w:rFonts w:hint="eastAsia"/>
          <w:color w:val="auto"/>
          <w:highlight w:val="none"/>
          <w:lang w:val="en-US" w:eastAsia="zh-CN"/>
        </w:rPr>
      </w:pPr>
      <w:r>
        <w:rPr>
          <w:rFonts w:hint="eastAsia"/>
          <w:color w:val="auto"/>
          <w:highlight w:val="none"/>
          <w:lang w:val="en-US" w:eastAsia="zh-CN"/>
        </w:rPr>
        <w:t>表3-8  堤基地层结构分类标准</w:t>
      </w:r>
    </w:p>
    <w:tbl>
      <w:tblPr>
        <w:tblStyle w:val="47"/>
        <w:tblW w:w="90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1660"/>
        <w:gridCol w:w="1020"/>
        <w:gridCol w:w="63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jc w:val="center"/>
        </w:trPr>
        <w:tc>
          <w:tcPr>
            <w:tcW w:w="2680"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堤基类型</w:t>
            </w:r>
          </w:p>
        </w:tc>
        <w:tc>
          <w:tcPr>
            <w:tcW w:w="633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结  构  特  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jc w:val="center"/>
        </w:trPr>
        <w:tc>
          <w:tcPr>
            <w:tcW w:w="1660"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单层结构</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Ⅰ类</w:t>
            </w:r>
          </w:p>
        </w:tc>
        <w:tc>
          <w:tcPr>
            <w:tcW w:w="1020"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Ⅰ</w:t>
            </w:r>
          </w:p>
        </w:tc>
        <w:tc>
          <w:tcPr>
            <w:tcW w:w="633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堤基主要由单一类土层或岩体组成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jc w:val="center"/>
        </w:trPr>
        <w:tc>
          <w:tcPr>
            <w:tcW w:w="1660"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双层结构</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Ⅱ类</w:t>
            </w:r>
          </w:p>
        </w:tc>
        <w:tc>
          <w:tcPr>
            <w:tcW w:w="1020"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Ⅱ</w:t>
            </w:r>
            <w:r>
              <w:rPr>
                <w:rFonts w:hint="eastAsia"/>
                <w:snapToGrid w:val="0"/>
                <w:color w:val="auto"/>
                <w:kern w:val="0"/>
                <w:position w:val="6"/>
                <w:sz w:val="21"/>
                <w:szCs w:val="21"/>
                <w:highlight w:val="none"/>
              </w:rPr>
              <w:t>1</w:t>
            </w:r>
          </w:p>
        </w:tc>
        <w:tc>
          <w:tcPr>
            <w:tcW w:w="633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堤基由两类土（岩）组成</w:t>
            </w:r>
            <w:r>
              <w:rPr>
                <w:rFonts w:hint="eastAsia"/>
                <w:snapToGrid w:val="0"/>
                <w:color w:val="auto"/>
                <w:kern w:val="0"/>
                <w:position w:val="6"/>
                <w:sz w:val="21"/>
                <w:szCs w:val="21"/>
                <w:highlight w:val="none"/>
              </w:rPr>
              <w:t>，主要为坡残积土及风化岩组成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jc w:val="center"/>
        </w:trPr>
        <w:tc>
          <w:tcPr>
            <w:tcW w:w="1660"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p>
        </w:tc>
        <w:tc>
          <w:tcPr>
            <w:tcW w:w="1020"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Ⅱ</w:t>
            </w:r>
            <w:r>
              <w:rPr>
                <w:rFonts w:hint="eastAsia"/>
                <w:snapToGrid w:val="0"/>
                <w:color w:val="auto"/>
                <w:kern w:val="0"/>
                <w:position w:val="6"/>
                <w:sz w:val="21"/>
                <w:szCs w:val="21"/>
                <w:highlight w:val="none"/>
              </w:rPr>
              <w:t>2</w:t>
            </w:r>
          </w:p>
        </w:tc>
        <w:tc>
          <w:tcPr>
            <w:tcW w:w="633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堤基由两类土（岩）组成</w:t>
            </w:r>
            <w:r>
              <w:rPr>
                <w:rFonts w:hint="eastAsia"/>
                <w:snapToGrid w:val="0"/>
                <w:color w:val="auto"/>
                <w:kern w:val="0"/>
                <w:position w:val="6"/>
                <w:sz w:val="21"/>
                <w:szCs w:val="21"/>
                <w:highlight w:val="none"/>
              </w:rPr>
              <w:t>，主要为冲积粉质黏土-砂土组成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413" w:hRule="atLeast"/>
          <w:jc w:val="center"/>
        </w:trPr>
        <w:tc>
          <w:tcPr>
            <w:tcW w:w="1660"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多层结构Ⅲ类</w:t>
            </w:r>
          </w:p>
        </w:tc>
        <w:tc>
          <w:tcPr>
            <w:tcW w:w="1020"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Ⅲ</w:t>
            </w:r>
            <w:r>
              <w:rPr>
                <w:snapToGrid w:val="0"/>
                <w:color w:val="auto"/>
                <w:kern w:val="0"/>
                <w:position w:val="6"/>
                <w:sz w:val="21"/>
                <w:szCs w:val="21"/>
                <w:highlight w:val="none"/>
                <w:vertAlign w:val="subscript"/>
              </w:rPr>
              <w:t>1</w:t>
            </w:r>
          </w:p>
        </w:tc>
        <w:tc>
          <w:tcPr>
            <w:tcW w:w="633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堤基表层为粘性土，下部为砂性土、粘性土、等土层交错组成的复杂堤基。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270" w:hRule="atLeast"/>
          <w:jc w:val="center"/>
        </w:trPr>
        <w:tc>
          <w:tcPr>
            <w:tcW w:w="1660"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p>
        </w:tc>
        <w:tc>
          <w:tcPr>
            <w:tcW w:w="1020"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Ⅲ</w:t>
            </w:r>
            <w:r>
              <w:rPr>
                <w:snapToGrid w:val="0"/>
                <w:color w:val="auto"/>
                <w:kern w:val="0"/>
                <w:position w:val="6"/>
                <w:sz w:val="21"/>
                <w:szCs w:val="21"/>
                <w:highlight w:val="none"/>
                <w:vertAlign w:val="subscript"/>
              </w:rPr>
              <w:t>2</w:t>
            </w:r>
          </w:p>
        </w:tc>
        <w:tc>
          <w:tcPr>
            <w:tcW w:w="633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堤基表层为砂性土层，下部为粘性土、砂性土、淤泥质土等土层交错组成的复杂堤基。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270" w:hRule="atLeast"/>
          <w:jc w:val="center"/>
        </w:trPr>
        <w:tc>
          <w:tcPr>
            <w:tcW w:w="1660"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p>
        </w:tc>
        <w:tc>
          <w:tcPr>
            <w:tcW w:w="1020"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Ⅲ</w:t>
            </w:r>
            <w:r>
              <w:rPr>
                <w:snapToGrid w:val="0"/>
                <w:color w:val="auto"/>
                <w:kern w:val="0"/>
                <w:position w:val="6"/>
                <w:sz w:val="21"/>
                <w:szCs w:val="21"/>
                <w:highlight w:val="none"/>
                <w:vertAlign w:val="subscript"/>
              </w:rPr>
              <w:t>3</w:t>
            </w:r>
          </w:p>
        </w:tc>
        <w:tc>
          <w:tcPr>
            <w:tcW w:w="633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snapToGrid w:val="0"/>
                <w:color w:val="auto"/>
                <w:kern w:val="0"/>
                <w:position w:val="6"/>
                <w:sz w:val="21"/>
                <w:szCs w:val="21"/>
                <w:highlight w:val="none"/>
              </w:rPr>
            </w:pPr>
            <w:r>
              <w:rPr>
                <w:snapToGrid w:val="0"/>
                <w:color w:val="auto"/>
                <w:kern w:val="0"/>
                <w:position w:val="6"/>
                <w:sz w:val="21"/>
                <w:szCs w:val="21"/>
                <w:highlight w:val="none"/>
              </w:rPr>
              <w:t>堤基表层为淤泥层，下部为粘性土、砂性土、淤泥质土等土层交错组成的复杂堤基。</w:t>
            </w:r>
          </w:p>
        </w:tc>
      </w:tr>
    </w:tbl>
    <w:p>
      <w:pPr>
        <w:ind w:firstLine="480"/>
        <w:rPr>
          <w:rFonts w:hint="eastAsia"/>
          <w:color w:val="auto"/>
          <w:highlight w:val="none"/>
          <w:lang w:val="en-US" w:eastAsia="zh-CN"/>
        </w:rPr>
      </w:pPr>
      <w:r>
        <w:rPr>
          <w:rFonts w:hint="eastAsia"/>
          <w:color w:val="auto"/>
          <w:highlight w:val="none"/>
          <w:lang w:val="en-US" w:eastAsia="zh-CN"/>
        </w:rPr>
        <w:t>根据表3-8的分类标准，对堤基结构进行分类，各段堤基结构类型见下表。</w:t>
      </w:r>
    </w:p>
    <w:p>
      <w:pPr>
        <w:adjustRightInd w:val="0"/>
        <w:snapToGrid w:val="0"/>
        <w:spacing w:line="500" w:lineRule="atLeast"/>
        <w:ind w:firstLine="120" w:firstLineChars="50"/>
        <w:jc w:val="center"/>
        <w:rPr>
          <w:rFonts w:hint="eastAsia" w:eastAsia="黑体"/>
          <w:b/>
          <w:bCs/>
          <w:color w:val="auto"/>
          <w:kern w:val="0"/>
          <w:sz w:val="24"/>
          <w:szCs w:val="24"/>
          <w:highlight w:val="none"/>
        </w:rPr>
      </w:pPr>
    </w:p>
    <w:p>
      <w:pPr>
        <w:adjustRightInd w:val="0"/>
        <w:snapToGrid w:val="0"/>
        <w:spacing w:line="500" w:lineRule="atLeast"/>
        <w:ind w:firstLine="120" w:firstLineChars="50"/>
        <w:jc w:val="center"/>
        <w:rPr>
          <w:rFonts w:hint="eastAsia" w:eastAsia="黑体"/>
          <w:b/>
          <w:bCs/>
          <w:color w:val="auto"/>
          <w:kern w:val="0"/>
          <w:sz w:val="24"/>
          <w:szCs w:val="24"/>
          <w:highlight w:val="none"/>
        </w:rPr>
      </w:pPr>
    </w:p>
    <w:p>
      <w:pPr>
        <w:adjustRightInd w:val="0"/>
        <w:snapToGrid w:val="0"/>
        <w:spacing w:line="500" w:lineRule="atLeast"/>
        <w:ind w:firstLine="120" w:firstLineChars="50"/>
        <w:jc w:val="center"/>
        <w:rPr>
          <w:rFonts w:hint="eastAsia" w:eastAsia="黑体"/>
          <w:b/>
          <w:bCs/>
          <w:color w:val="auto"/>
          <w:kern w:val="0"/>
          <w:sz w:val="24"/>
          <w:szCs w:val="24"/>
          <w:highlight w:val="none"/>
        </w:rPr>
      </w:pPr>
    </w:p>
    <w:p>
      <w:pPr>
        <w:adjustRightInd w:val="0"/>
        <w:snapToGrid w:val="0"/>
        <w:spacing w:line="500" w:lineRule="atLeast"/>
        <w:ind w:firstLine="120" w:firstLineChars="50"/>
        <w:jc w:val="center"/>
        <w:rPr>
          <w:rFonts w:hint="eastAsia" w:eastAsia="黑体"/>
          <w:b/>
          <w:bCs/>
          <w:color w:val="auto"/>
          <w:kern w:val="0"/>
          <w:sz w:val="24"/>
          <w:szCs w:val="24"/>
          <w:highlight w:val="none"/>
        </w:rPr>
      </w:pPr>
    </w:p>
    <w:p>
      <w:pPr>
        <w:adjustRightInd w:val="0"/>
        <w:snapToGrid w:val="0"/>
        <w:spacing w:line="500" w:lineRule="atLeast"/>
        <w:ind w:firstLine="120" w:firstLineChars="50"/>
        <w:jc w:val="center"/>
        <w:rPr>
          <w:rFonts w:hint="eastAsia" w:eastAsia="黑体"/>
          <w:b/>
          <w:bCs/>
          <w:color w:val="auto"/>
          <w:kern w:val="0"/>
          <w:sz w:val="24"/>
          <w:szCs w:val="24"/>
          <w:highlight w:val="none"/>
        </w:rPr>
      </w:pPr>
    </w:p>
    <w:p>
      <w:pPr>
        <w:adjustRightInd w:val="0"/>
        <w:snapToGrid w:val="0"/>
        <w:spacing w:line="500" w:lineRule="atLeast"/>
        <w:ind w:firstLine="120" w:firstLineChars="50"/>
        <w:jc w:val="center"/>
        <w:rPr>
          <w:rFonts w:hint="eastAsia" w:eastAsia="黑体"/>
          <w:b/>
          <w:bCs/>
          <w:color w:val="auto"/>
          <w:kern w:val="0"/>
          <w:sz w:val="24"/>
          <w:szCs w:val="24"/>
          <w:highlight w:val="none"/>
        </w:rPr>
      </w:pPr>
    </w:p>
    <w:p>
      <w:pPr>
        <w:ind w:left="0" w:leftChars="0" w:firstLine="0" w:firstLineChars="0"/>
        <w:jc w:val="center"/>
        <w:rPr>
          <w:rFonts w:hint="eastAsia"/>
          <w:color w:val="auto"/>
          <w:highlight w:val="none"/>
          <w:lang w:val="en-US" w:eastAsia="zh-CN"/>
        </w:rPr>
      </w:pPr>
      <w:r>
        <w:rPr>
          <w:rFonts w:hint="eastAsia"/>
          <w:color w:val="auto"/>
          <w:highlight w:val="none"/>
          <w:lang w:val="en-US" w:eastAsia="zh-CN"/>
        </w:rPr>
        <w:t>表3-9  堤基结构类型</w:t>
      </w:r>
    </w:p>
    <w:tbl>
      <w:tblPr>
        <w:tblStyle w:val="47"/>
        <w:tblW w:w="91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5"/>
        <w:gridCol w:w="7351"/>
        <w:gridCol w:w="10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6" w:hRule="atLeast"/>
          <w:jc w:val="center"/>
        </w:trPr>
        <w:tc>
          <w:tcPr>
            <w:tcW w:w="8096" w:type="dxa"/>
            <w:gridSpan w:val="2"/>
            <w:vMerge w:val="restart"/>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snapToGrid w:val="0"/>
                <w:color w:val="auto"/>
                <w:position w:val="6"/>
                <w:sz w:val="21"/>
                <w:szCs w:val="21"/>
                <w:highlight w:val="none"/>
                <w:lang w:eastAsia="zh-CN"/>
              </w:rPr>
            </w:pPr>
            <w:r>
              <w:rPr>
                <w:snapToGrid w:val="0"/>
                <w:color w:val="auto"/>
                <w:position w:val="6"/>
                <w:sz w:val="21"/>
                <w:szCs w:val="21"/>
                <w:highlight w:val="none"/>
                <w:lang w:eastAsia="zh-CN"/>
              </w:rPr>
              <w:t>桩号位置（m）</w:t>
            </w:r>
          </w:p>
        </w:tc>
        <w:tc>
          <w:tcPr>
            <w:tcW w:w="1022" w:type="dxa"/>
            <w:vMerge w:val="restart"/>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snapToGrid w:val="0"/>
                <w:color w:val="auto"/>
                <w:position w:val="6"/>
                <w:sz w:val="21"/>
                <w:szCs w:val="21"/>
                <w:highlight w:val="none"/>
                <w:lang w:eastAsia="zh-CN"/>
              </w:rPr>
            </w:pPr>
            <w:r>
              <w:rPr>
                <w:snapToGrid w:val="0"/>
                <w:color w:val="auto"/>
                <w:position w:val="6"/>
                <w:sz w:val="21"/>
                <w:szCs w:val="21"/>
                <w:highlight w:val="none"/>
                <w:lang w:eastAsia="zh-CN"/>
              </w:rPr>
              <w:t>结构类型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9" w:hRule="atLeast"/>
          <w:jc w:val="center"/>
        </w:trPr>
        <w:tc>
          <w:tcPr>
            <w:tcW w:w="8096" w:type="dxa"/>
            <w:gridSpan w:val="2"/>
            <w:vMerge w:val="continue"/>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snapToGrid w:val="0"/>
                <w:color w:val="auto"/>
                <w:position w:val="6"/>
                <w:sz w:val="21"/>
                <w:szCs w:val="21"/>
                <w:highlight w:val="none"/>
                <w:lang w:eastAsia="zh-CN"/>
              </w:rPr>
            </w:pPr>
          </w:p>
        </w:tc>
        <w:tc>
          <w:tcPr>
            <w:tcW w:w="1022" w:type="dxa"/>
            <w:vMerge w:val="continue"/>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snapToGrid w:val="0"/>
                <w:color w:val="auto"/>
                <w:position w:val="6"/>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8" w:hRule="atLeast"/>
          <w:jc w:val="center"/>
        </w:trPr>
        <w:tc>
          <w:tcPr>
            <w:tcW w:w="745" w:type="dxa"/>
            <w:vAlign w:val="center"/>
          </w:tcPr>
          <w:p>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snapToGrid w:val="0"/>
                <w:color w:val="auto"/>
                <w:sz w:val="21"/>
                <w:szCs w:val="21"/>
                <w:highlight w:val="none"/>
              </w:rPr>
            </w:pPr>
            <w:r>
              <w:rPr>
                <w:snapToGrid w:val="0"/>
                <w:color w:val="auto"/>
                <w:sz w:val="21"/>
                <w:szCs w:val="21"/>
                <w:highlight w:val="none"/>
              </w:rPr>
              <w:t>左岸</w:t>
            </w:r>
          </w:p>
        </w:tc>
        <w:tc>
          <w:tcPr>
            <w:tcW w:w="7351"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snapToGrid w:val="0"/>
                <w:color w:val="auto"/>
                <w:position w:val="6"/>
                <w:sz w:val="21"/>
                <w:szCs w:val="21"/>
                <w:highlight w:val="none"/>
                <w:lang w:eastAsia="zh-CN"/>
              </w:rPr>
            </w:pPr>
            <w:r>
              <w:rPr>
                <w:rFonts w:hint="eastAsia"/>
                <w:snapToGrid w:val="0"/>
                <w:color w:val="auto"/>
                <w:position w:val="6"/>
                <w:sz w:val="21"/>
                <w:szCs w:val="21"/>
                <w:highlight w:val="none"/>
                <w:lang w:eastAsia="zh-CN"/>
              </w:rPr>
              <w:t>K0+000-K2+415</w:t>
            </w:r>
          </w:p>
        </w:tc>
        <w:tc>
          <w:tcPr>
            <w:tcW w:w="1022"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snapToGrid w:val="0"/>
                <w:color w:val="auto"/>
                <w:position w:val="6"/>
                <w:sz w:val="21"/>
                <w:szCs w:val="21"/>
                <w:highlight w:val="none"/>
                <w:lang w:val="en-US" w:eastAsia="zh-CN"/>
              </w:rPr>
            </w:pPr>
            <w:r>
              <w:rPr>
                <w:snapToGrid w:val="0"/>
                <w:color w:val="auto"/>
                <w:position w:val="6"/>
                <w:sz w:val="21"/>
                <w:szCs w:val="21"/>
                <w:highlight w:val="none"/>
                <w:lang w:eastAsia="zh-CN"/>
              </w:rPr>
              <w:t>Ⅱ</w:t>
            </w:r>
            <w:r>
              <w:rPr>
                <w:rFonts w:hint="eastAsia"/>
                <w:snapToGrid w:val="0"/>
                <w:color w:val="auto"/>
                <w:position w:val="6"/>
                <w:sz w:val="21"/>
                <w:szCs w:val="21"/>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8" w:hRule="atLeast"/>
          <w:jc w:val="center"/>
        </w:trPr>
        <w:tc>
          <w:tcPr>
            <w:tcW w:w="745"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snapToGrid w:val="0"/>
                <w:color w:val="auto"/>
                <w:position w:val="6"/>
                <w:sz w:val="21"/>
                <w:szCs w:val="21"/>
                <w:highlight w:val="none"/>
                <w:lang w:eastAsia="zh-CN"/>
              </w:rPr>
            </w:pPr>
            <w:r>
              <w:rPr>
                <w:snapToGrid w:val="0"/>
                <w:color w:val="auto"/>
                <w:position w:val="6"/>
                <w:sz w:val="21"/>
                <w:szCs w:val="21"/>
                <w:highlight w:val="none"/>
                <w:lang w:eastAsia="zh-CN"/>
              </w:rPr>
              <w:t>右岸</w:t>
            </w:r>
          </w:p>
        </w:tc>
        <w:tc>
          <w:tcPr>
            <w:tcW w:w="7351"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snapToGrid w:val="0"/>
                <w:color w:val="auto"/>
                <w:position w:val="6"/>
                <w:sz w:val="21"/>
                <w:szCs w:val="21"/>
                <w:highlight w:val="none"/>
                <w:lang w:eastAsia="zh-CN"/>
              </w:rPr>
            </w:pPr>
            <w:r>
              <w:rPr>
                <w:rFonts w:hint="eastAsia"/>
                <w:color w:val="auto"/>
                <w:sz w:val="21"/>
                <w:szCs w:val="21"/>
                <w:highlight w:val="none"/>
                <w:lang w:eastAsia="zh-CN"/>
              </w:rPr>
              <w:t>K0+000-K2+415</w:t>
            </w:r>
          </w:p>
        </w:tc>
        <w:tc>
          <w:tcPr>
            <w:tcW w:w="1022" w:type="dxa"/>
            <w:vAlign w:val="center"/>
          </w:tcPr>
          <w:p>
            <w:pPr>
              <w:pStyle w:val="432"/>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snapToGrid w:val="0"/>
                <w:color w:val="auto"/>
                <w:position w:val="6"/>
                <w:sz w:val="21"/>
                <w:szCs w:val="21"/>
                <w:highlight w:val="none"/>
                <w:lang w:val="en-US" w:eastAsia="zh-CN"/>
              </w:rPr>
            </w:pPr>
            <w:r>
              <w:rPr>
                <w:snapToGrid w:val="0"/>
                <w:color w:val="auto"/>
                <w:position w:val="6"/>
                <w:sz w:val="21"/>
                <w:szCs w:val="21"/>
                <w:highlight w:val="none"/>
                <w:lang w:eastAsia="zh-CN"/>
              </w:rPr>
              <w:t>Ⅱ</w:t>
            </w:r>
            <w:r>
              <w:rPr>
                <w:rFonts w:hint="eastAsia"/>
                <w:snapToGrid w:val="0"/>
                <w:color w:val="auto"/>
                <w:position w:val="6"/>
                <w:sz w:val="21"/>
                <w:szCs w:val="21"/>
                <w:highlight w:val="none"/>
                <w:lang w:val="en-US" w:eastAsia="zh-CN"/>
              </w:rPr>
              <w:t>1</w:t>
            </w:r>
          </w:p>
        </w:tc>
      </w:tr>
    </w:tbl>
    <w:p>
      <w:pPr>
        <w:spacing w:line="360" w:lineRule="auto"/>
        <w:ind w:firstLine="600" w:firstLineChars="250"/>
        <w:rPr>
          <w:rFonts w:hint="eastAsia" w:ascii="宋体" w:hAnsi="宋体"/>
          <w:bCs/>
          <w:snapToGrid w:val="0"/>
          <w:color w:val="auto"/>
          <w:kern w:val="44"/>
          <w:sz w:val="24"/>
          <w:highlight w:val="none"/>
        </w:rPr>
      </w:pPr>
    </w:p>
    <w:p>
      <w:pPr>
        <w:pStyle w:val="335"/>
        <w:spacing w:before="120" w:after="120"/>
        <w:rPr>
          <w:rFonts w:hint="eastAsia"/>
          <w:color w:val="auto"/>
          <w:highlight w:val="none"/>
          <w:lang w:val="en-US" w:eastAsia="zh-CN"/>
        </w:rPr>
      </w:pPr>
      <w:bookmarkStart w:id="209" w:name="_Toc109332912"/>
      <w:bookmarkStart w:id="210" w:name="_Toc344211464"/>
      <w:r>
        <w:rPr>
          <w:rFonts w:hint="eastAsia"/>
          <w:color w:val="auto"/>
          <w:highlight w:val="none"/>
          <w:lang w:val="en-US" w:eastAsia="zh-CN"/>
        </w:rPr>
        <w:t>3.3.5 堤防工程地质分类</w:t>
      </w:r>
      <w:bookmarkEnd w:id="209"/>
    </w:p>
    <w:p>
      <w:pPr>
        <w:ind w:firstLine="480"/>
        <w:rPr>
          <w:rFonts w:hint="eastAsia"/>
          <w:color w:val="auto"/>
          <w:highlight w:val="none"/>
        </w:rPr>
      </w:pPr>
      <w:r>
        <w:rPr>
          <w:rFonts w:hint="eastAsia"/>
          <w:color w:val="auto"/>
          <w:highlight w:val="none"/>
        </w:rPr>
        <w:t>在堤基地层结构分类的基础上，着重考虑软弱堤基、渗透稳定、沉降变形及抗滑稳定，并结合堤内外位置、堤外滩宽度、历史溃口、险段及冲刷等不良工程地质问题，将堤基工程地质分类划分为工程地质条件较差（C类）。</w:t>
      </w:r>
    </w:p>
    <w:p>
      <w:pPr>
        <w:ind w:left="0" w:leftChars="0" w:firstLine="0" w:firstLineChars="0"/>
        <w:jc w:val="center"/>
        <w:rPr>
          <w:rFonts w:hint="eastAsia"/>
          <w:color w:val="auto"/>
          <w:highlight w:val="none"/>
          <w:lang w:val="en-US" w:eastAsia="zh-CN"/>
        </w:rPr>
      </w:pPr>
      <w:r>
        <w:rPr>
          <w:rFonts w:hint="eastAsia"/>
          <w:color w:val="auto"/>
          <w:highlight w:val="none"/>
          <w:lang w:val="en-US" w:eastAsia="zh-CN"/>
        </w:rPr>
        <w:t>表3-10  工程地质分类及评价表</w:t>
      </w:r>
    </w:p>
    <w:tbl>
      <w:tblPr>
        <w:tblStyle w:val="47"/>
        <w:tblW w:w="89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2802"/>
        <w:gridCol w:w="61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61" w:hRule="atLeast"/>
          <w:jc w:val="center"/>
        </w:trPr>
        <w:tc>
          <w:tcPr>
            <w:tcW w:w="2802" w:type="dxa"/>
            <w:tcMar>
              <w:left w:w="28" w:type="dxa"/>
              <w:right w:w="28" w:type="dxa"/>
            </w:tcMar>
            <w:vAlign w:val="center"/>
          </w:tcPr>
          <w:p>
            <w:pPr>
              <w:pStyle w:val="432"/>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类 型</w:t>
            </w:r>
          </w:p>
        </w:tc>
        <w:tc>
          <w:tcPr>
            <w:tcW w:w="6156" w:type="dxa"/>
            <w:tcMar>
              <w:left w:w="28" w:type="dxa"/>
              <w:right w:w="28" w:type="dxa"/>
            </w:tcMar>
            <w:vAlign w:val="center"/>
          </w:tcPr>
          <w:p>
            <w:pPr>
              <w:pStyle w:val="432"/>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126" w:hRule="atLeast"/>
          <w:jc w:val="center"/>
        </w:trPr>
        <w:tc>
          <w:tcPr>
            <w:tcW w:w="2802" w:type="dxa"/>
            <w:tcMar>
              <w:left w:w="28" w:type="dxa"/>
              <w:right w:w="28" w:type="dxa"/>
            </w:tcMar>
            <w:vAlign w:val="center"/>
          </w:tcPr>
          <w:p>
            <w:pPr>
              <w:pStyle w:val="432"/>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工程地质问题</w:t>
            </w:r>
          </w:p>
        </w:tc>
        <w:tc>
          <w:tcPr>
            <w:tcW w:w="6156" w:type="dxa"/>
            <w:tcMar>
              <w:left w:w="28" w:type="dxa"/>
              <w:right w:w="28" w:type="dxa"/>
            </w:tcMar>
            <w:vAlign w:val="center"/>
          </w:tcPr>
          <w:p>
            <w:pPr>
              <w:pStyle w:val="432"/>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存在渗漏及渗透稳定、抗滑稳定、沉降变形稳定中一种问题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186" w:hRule="atLeast"/>
          <w:jc w:val="center"/>
        </w:trPr>
        <w:tc>
          <w:tcPr>
            <w:tcW w:w="2802" w:type="dxa"/>
            <w:tcMar>
              <w:left w:w="28" w:type="dxa"/>
              <w:right w:w="28" w:type="dxa"/>
            </w:tcMar>
            <w:vAlign w:val="center"/>
          </w:tcPr>
          <w:p>
            <w:pPr>
              <w:pStyle w:val="432"/>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堤基地层结构类型</w:t>
            </w:r>
          </w:p>
        </w:tc>
        <w:tc>
          <w:tcPr>
            <w:tcW w:w="6156" w:type="dxa"/>
            <w:tcMar>
              <w:left w:w="28" w:type="dxa"/>
              <w:right w:w="28" w:type="dxa"/>
            </w:tcMar>
            <w:vAlign w:val="center"/>
          </w:tcPr>
          <w:p>
            <w:pPr>
              <w:pStyle w:val="432"/>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堤基地层结构为Ⅱ</w:t>
            </w:r>
            <w:r>
              <w:rPr>
                <w:rFonts w:hint="eastAsia"/>
                <w:color w:val="auto"/>
                <w:highlight w:val="none"/>
                <w:lang w:eastAsia="zh-CN"/>
              </w:rPr>
              <w:t>2</w:t>
            </w:r>
            <w:r>
              <w:rPr>
                <w:color w:val="auto"/>
                <w:highlight w:val="none"/>
                <w:lang w:eastAsia="zh-CN"/>
              </w:rPr>
              <w:t>类，浅部地层承载力</w:t>
            </w:r>
            <w:r>
              <w:rPr>
                <w:rFonts w:hint="eastAsia"/>
                <w:color w:val="auto"/>
                <w:highlight w:val="none"/>
                <w:lang w:eastAsia="zh-CN"/>
              </w:rPr>
              <w:t>一般，渗透性强，抗冲刷差</w:t>
            </w:r>
            <w:r>
              <w:rPr>
                <w:color w:val="auto"/>
                <w:highlight w:val="none"/>
                <w:lang w:eastAsia="zh-CN"/>
              </w:rPr>
              <w:t>的</w:t>
            </w:r>
            <w:r>
              <w:rPr>
                <w:rFonts w:hint="eastAsia"/>
                <w:color w:val="auto"/>
                <w:highlight w:val="none"/>
                <w:lang w:eastAsia="zh-CN"/>
              </w:rPr>
              <w:t>砂</w:t>
            </w:r>
            <w:r>
              <w:rPr>
                <w:color w:val="auto"/>
                <w:highlight w:val="none"/>
                <w:lang w:eastAsia="zh-CN"/>
              </w:rPr>
              <w:t>土层，厚大较大，堤岸较稳定或局部见冲刷痕迹。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122" w:hRule="atLeast"/>
          <w:jc w:val="center"/>
        </w:trPr>
        <w:tc>
          <w:tcPr>
            <w:tcW w:w="2802" w:type="dxa"/>
            <w:tcMar>
              <w:left w:w="28" w:type="dxa"/>
              <w:right w:w="28" w:type="dxa"/>
            </w:tcMar>
            <w:vAlign w:val="center"/>
          </w:tcPr>
          <w:p>
            <w:pPr>
              <w:pStyle w:val="432"/>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位置桩号（m）</w:t>
            </w:r>
          </w:p>
        </w:tc>
        <w:tc>
          <w:tcPr>
            <w:tcW w:w="6156" w:type="dxa"/>
            <w:tcMar>
              <w:left w:w="28" w:type="dxa"/>
              <w:right w:w="28" w:type="dxa"/>
            </w:tcMar>
            <w:vAlign w:val="center"/>
          </w:tcPr>
          <w:p>
            <w:pPr>
              <w:pStyle w:val="432"/>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snapToGrid w:val="0"/>
                <w:color w:val="auto"/>
                <w:highlight w:val="none"/>
                <w:lang w:eastAsia="zh-CN"/>
              </w:rPr>
            </w:pPr>
            <w:r>
              <w:rPr>
                <w:rFonts w:hint="eastAsia"/>
                <w:color w:val="auto"/>
                <w:highlight w:val="none"/>
                <w:lang w:eastAsia="zh-CN"/>
              </w:rPr>
              <w:t>K0+000-K2+415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60" w:hRule="atLeast"/>
          <w:jc w:val="center"/>
        </w:trPr>
        <w:tc>
          <w:tcPr>
            <w:tcW w:w="2802" w:type="dxa"/>
            <w:tcMar>
              <w:left w:w="28" w:type="dxa"/>
              <w:right w:w="28" w:type="dxa"/>
            </w:tcMar>
            <w:vAlign w:val="center"/>
          </w:tcPr>
          <w:p>
            <w:pPr>
              <w:pStyle w:val="432"/>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累计长度（m）</w:t>
            </w:r>
          </w:p>
        </w:tc>
        <w:tc>
          <w:tcPr>
            <w:tcW w:w="6156" w:type="dxa"/>
            <w:tcMar>
              <w:left w:w="28" w:type="dxa"/>
              <w:right w:w="28" w:type="dxa"/>
            </w:tcMar>
            <w:vAlign w:val="center"/>
          </w:tcPr>
          <w:p>
            <w:pPr>
              <w:pStyle w:val="432"/>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highlight w:val="none"/>
                <w:lang w:eastAsia="zh-CN"/>
              </w:rPr>
            </w:pPr>
            <w:r>
              <w:rPr>
                <w:rFonts w:hint="eastAsia"/>
                <w:color w:val="auto"/>
                <w:highlight w:val="none"/>
                <w:lang w:eastAsia="zh-CN"/>
              </w:rPr>
              <w:t>2.415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65" w:hRule="atLeast"/>
          <w:jc w:val="center"/>
        </w:trPr>
        <w:tc>
          <w:tcPr>
            <w:tcW w:w="2802" w:type="dxa"/>
            <w:tcMar>
              <w:left w:w="28" w:type="dxa"/>
              <w:right w:w="28" w:type="dxa"/>
            </w:tcMar>
            <w:vAlign w:val="center"/>
          </w:tcPr>
          <w:p>
            <w:pPr>
              <w:pStyle w:val="432"/>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snapToGrid w:val="0"/>
                <w:color w:val="auto"/>
                <w:highlight w:val="none"/>
                <w:lang w:eastAsia="zh-CN"/>
              </w:rPr>
            </w:pPr>
            <w:r>
              <w:rPr>
                <w:snapToGrid w:val="0"/>
                <w:color w:val="auto"/>
                <w:highlight w:val="none"/>
                <w:lang w:eastAsia="zh-CN"/>
              </w:rPr>
              <w:t>工程地质评价</w:t>
            </w:r>
          </w:p>
        </w:tc>
        <w:tc>
          <w:tcPr>
            <w:tcW w:w="6156" w:type="dxa"/>
            <w:tcMar>
              <w:left w:w="28" w:type="dxa"/>
              <w:right w:w="28" w:type="dxa"/>
            </w:tcMar>
            <w:vAlign w:val="center"/>
          </w:tcPr>
          <w:p>
            <w:pPr>
              <w:pStyle w:val="432"/>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highlight w:val="none"/>
                <w:lang w:eastAsia="zh-CN"/>
              </w:rPr>
            </w:pPr>
            <w:r>
              <w:rPr>
                <w:color w:val="auto"/>
                <w:highlight w:val="none"/>
                <w:lang w:eastAsia="zh-CN"/>
              </w:rPr>
              <w:t>工程地质条件较差</w:t>
            </w:r>
          </w:p>
        </w:tc>
      </w:tr>
    </w:tbl>
    <w:p>
      <w:pPr>
        <w:pStyle w:val="335"/>
        <w:spacing w:before="120" w:after="120"/>
        <w:rPr>
          <w:rFonts w:hint="eastAsia"/>
          <w:color w:val="auto"/>
          <w:highlight w:val="none"/>
          <w:lang w:val="en-US" w:eastAsia="zh-CN"/>
        </w:rPr>
      </w:pPr>
      <w:bookmarkStart w:id="211" w:name="_Toc109332913"/>
      <w:r>
        <w:rPr>
          <w:rFonts w:hint="eastAsia"/>
          <w:color w:val="auto"/>
          <w:highlight w:val="none"/>
          <w:lang w:val="en-US" w:eastAsia="zh-CN"/>
        </w:rPr>
        <w:t>3.3.6 堤基工程地质条件评价</w:t>
      </w:r>
      <w:bookmarkEnd w:id="210"/>
      <w:bookmarkEnd w:id="211"/>
    </w:p>
    <w:p>
      <w:pPr>
        <w:ind w:firstLine="480"/>
        <w:rPr>
          <w:rFonts w:hint="eastAsia"/>
          <w:color w:val="auto"/>
          <w:highlight w:val="none"/>
        </w:rPr>
      </w:pPr>
      <w:r>
        <w:rPr>
          <w:rFonts w:hint="eastAsia"/>
          <w:color w:val="auto"/>
          <w:highlight w:val="none"/>
        </w:rPr>
        <w:t>根据工程勘察成果，按《堤防工程地质勘察规程》SL 188-2005的要求，根据堤基岩土层组成情况，参考纵剖面图。堤基地层结构主要为粉质粘土。工程地质条件一般，需注意渗漏问题。</w:t>
      </w:r>
      <w:r>
        <w:rPr>
          <w:rFonts w:hint="eastAsia"/>
          <w:color w:val="auto"/>
          <w:highlight w:val="none"/>
          <w:lang w:val="en-US" w:eastAsia="zh-CN"/>
        </w:rPr>
        <w:t>残</w:t>
      </w:r>
      <w:r>
        <w:rPr>
          <w:rFonts w:hint="eastAsia"/>
          <w:color w:val="auto"/>
          <w:highlight w:val="none"/>
        </w:rPr>
        <w:t>积土层粉质粘土普遍存在，强度一般，透水性弱，构成堤基相对隔水层。</w:t>
      </w:r>
    </w:p>
    <w:p>
      <w:pPr>
        <w:pStyle w:val="335"/>
        <w:spacing w:before="120" w:after="120"/>
        <w:rPr>
          <w:rFonts w:hint="eastAsia"/>
          <w:color w:val="auto"/>
          <w:highlight w:val="none"/>
          <w:lang w:val="en-US" w:eastAsia="zh-CN"/>
        </w:rPr>
      </w:pPr>
      <w:bookmarkStart w:id="212" w:name="_Toc109332914"/>
      <w:r>
        <w:rPr>
          <w:rFonts w:hint="eastAsia"/>
          <w:color w:val="auto"/>
          <w:highlight w:val="none"/>
          <w:lang w:val="en-US" w:eastAsia="zh-CN"/>
        </w:rPr>
        <w:t>3.3.7地质构造与地震</w:t>
      </w:r>
      <w:bookmarkEnd w:id="212"/>
      <w:bookmarkStart w:id="213" w:name="_Toc277603428"/>
    </w:p>
    <w:p>
      <w:pPr>
        <w:ind w:firstLine="480"/>
        <w:rPr>
          <w:rFonts w:hint="eastAsia"/>
          <w:color w:val="auto"/>
          <w:highlight w:val="none"/>
        </w:rPr>
      </w:pPr>
      <w:r>
        <w:rPr>
          <w:rFonts w:hint="eastAsia"/>
          <w:color w:val="auto"/>
          <w:highlight w:val="none"/>
        </w:rPr>
        <w:t>断层</w:t>
      </w:r>
      <w:bookmarkEnd w:id="213"/>
      <w:r>
        <w:rPr>
          <w:rFonts w:hint="eastAsia"/>
          <w:color w:val="auto"/>
          <w:highlight w:val="none"/>
        </w:rPr>
        <w:t>场区第四系</w:t>
      </w:r>
      <w:r>
        <w:rPr>
          <w:rFonts w:hint="eastAsia"/>
          <w:color w:val="auto"/>
          <w:highlight w:val="none"/>
          <w:lang w:val="en-US" w:eastAsia="zh-CN"/>
        </w:rPr>
        <w:t>残积</w:t>
      </w:r>
      <w:r>
        <w:rPr>
          <w:rFonts w:hint="eastAsia"/>
          <w:color w:val="auto"/>
          <w:highlight w:val="none"/>
        </w:rPr>
        <w:t>覆盖层多较深厚，所有钻孔控制深度范围内未揭露对工程有影响的断层</w:t>
      </w:r>
      <w:bookmarkStart w:id="214" w:name="_Toc277603429"/>
      <w:r>
        <w:rPr>
          <w:rFonts w:hint="eastAsia"/>
          <w:color w:val="auto"/>
          <w:highlight w:val="none"/>
        </w:rPr>
        <w:t>，地质构造不会影响建筑物安全。</w:t>
      </w:r>
    </w:p>
    <w:p>
      <w:pPr>
        <w:ind w:firstLine="480"/>
        <w:rPr>
          <w:rFonts w:hint="eastAsia"/>
          <w:color w:val="auto"/>
          <w:highlight w:val="none"/>
        </w:rPr>
      </w:pPr>
      <w:r>
        <w:rPr>
          <w:rFonts w:hint="eastAsia"/>
          <w:color w:val="auto"/>
          <w:highlight w:val="none"/>
        </w:rPr>
        <w:t>堤段堤基岩土层以粉质粘土组成，压缩模量大，沉降较小，主要来自于堤身的沉降；因此，易产生不均匀沉降或沉降较大，砼与土的摩擦系数μ一般为0.25~0.30，其强度指标值均较低，抗滑稳定性较差。</w:t>
      </w:r>
    </w:p>
    <w:p>
      <w:pPr>
        <w:ind w:firstLine="480"/>
        <w:rPr>
          <w:rFonts w:hint="eastAsia"/>
          <w:color w:val="auto"/>
          <w:highlight w:val="none"/>
        </w:rPr>
      </w:pPr>
      <w:r>
        <w:rPr>
          <w:rFonts w:hint="eastAsia"/>
          <w:color w:val="auto"/>
          <w:highlight w:val="none"/>
        </w:rPr>
        <w:t>本堤段堤基土层粉质粘土，按地震烈度6度考虑，为不液化砂土层。</w:t>
      </w:r>
    </w:p>
    <w:p>
      <w:pPr>
        <w:pStyle w:val="335"/>
        <w:spacing w:before="120" w:after="120"/>
        <w:rPr>
          <w:rFonts w:hint="eastAsia"/>
          <w:color w:val="auto"/>
          <w:highlight w:val="none"/>
          <w:lang w:val="en-US" w:eastAsia="zh-CN"/>
        </w:rPr>
      </w:pPr>
      <w:bookmarkStart w:id="215" w:name="_Toc109332915"/>
      <w:r>
        <w:rPr>
          <w:rFonts w:hint="eastAsia"/>
          <w:color w:val="auto"/>
          <w:highlight w:val="none"/>
          <w:lang w:val="en-US" w:eastAsia="zh-CN"/>
        </w:rPr>
        <w:t>3.3.8不良地质作用及特殊岩土</w:t>
      </w:r>
      <w:bookmarkEnd w:id="215"/>
    </w:p>
    <w:p>
      <w:pPr>
        <w:ind w:firstLine="480"/>
        <w:rPr>
          <w:rFonts w:hint="eastAsia"/>
          <w:color w:val="auto"/>
          <w:highlight w:val="none"/>
        </w:rPr>
      </w:pPr>
      <w:r>
        <w:rPr>
          <w:rFonts w:hint="eastAsia"/>
          <w:color w:val="auto"/>
          <w:highlight w:val="none"/>
        </w:rPr>
        <w:t>1、不良地质作用</w:t>
      </w:r>
    </w:p>
    <w:p>
      <w:pPr>
        <w:ind w:firstLine="480"/>
        <w:rPr>
          <w:rFonts w:hint="eastAsia"/>
          <w:color w:val="auto"/>
          <w:highlight w:val="none"/>
        </w:rPr>
      </w:pPr>
      <w:r>
        <w:rPr>
          <w:rFonts w:hint="eastAsia"/>
          <w:color w:val="auto"/>
          <w:highlight w:val="none"/>
        </w:rPr>
        <w:t>流域区下游主要以低山丘陵为主，地势较平缓，植被较发育，虽存在凹岸冲刷，小型滑坡等物理地质现象，但尚未发现影响较大危害堤防的大型滑坡、崩塌、危岩等不良地质作用；未发现有红土、湿陷性土、膨胀土等特殊岩土；未发现有活动性断层、地裂、泥石流、岩溶等环境岩土工程问题。</w:t>
      </w:r>
    </w:p>
    <w:bookmarkEnd w:id="214"/>
    <w:p>
      <w:pPr>
        <w:pStyle w:val="3"/>
        <w:rPr>
          <w:rFonts w:hint="eastAsia"/>
          <w:color w:val="auto"/>
          <w:highlight w:val="none"/>
          <w:lang w:val="en-US" w:eastAsia="zh-CN"/>
        </w:rPr>
      </w:pPr>
      <w:bookmarkStart w:id="216" w:name="_Toc109332919"/>
      <w:bookmarkStart w:id="217" w:name="_Toc27535"/>
      <w:r>
        <w:rPr>
          <w:rFonts w:hint="eastAsia"/>
          <w:color w:val="auto"/>
          <w:highlight w:val="none"/>
          <w:lang w:val="en-US" w:eastAsia="zh-CN"/>
        </w:rPr>
        <w:t>3.4 主要工程地质问题</w:t>
      </w:r>
      <w:bookmarkEnd w:id="216"/>
      <w:bookmarkEnd w:id="217"/>
    </w:p>
    <w:p>
      <w:pPr>
        <w:pStyle w:val="335"/>
        <w:spacing w:before="120" w:after="120"/>
        <w:rPr>
          <w:rFonts w:hint="eastAsia"/>
          <w:color w:val="auto"/>
          <w:highlight w:val="none"/>
          <w:lang w:val="en-US" w:eastAsia="zh-CN"/>
        </w:rPr>
      </w:pPr>
      <w:bookmarkStart w:id="218" w:name="_Toc109332920"/>
      <w:r>
        <w:rPr>
          <w:rFonts w:hint="eastAsia"/>
          <w:color w:val="auto"/>
          <w:highlight w:val="none"/>
          <w:lang w:val="en-US" w:eastAsia="zh-CN"/>
        </w:rPr>
        <w:t>3.4.1渗透变形问题</w:t>
      </w:r>
      <w:bookmarkEnd w:id="218"/>
    </w:p>
    <w:p>
      <w:pPr>
        <w:ind w:firstLine="480"/>
        <w:rPr>
          <w:rFonts w:hint="eastAsia"/>
          <w:color w:val="auto"/>
          <w:highlight w:val="none"/>
        </w:rPr>
      </w:pPr>
      <w:r>
        <w:rPr>
          <w:rFonts w:hint="eastAsia"/>
          <w:color w:val="auto"/>
          <w:highlight w:val="none"/>
        </w:rPr>
        <w:t>根据《水利水电工程地质勘察规范》（GB50487—2008），</w:t>
      </w:r>
    </w:p>
    <w:p>
      <w:pPr>
        <w:ind w:firstLine="480"/>
        <w:rPr>
          <w:rFonts w:hint="eastAsia"/>
          <w:color w:val="auto"/>
          <w:highlight w:val="none"/>
        </w:rPr>
      </w:pPr>
      <w:r>
        <w:rPr>
          <w:rFonts w:hint="eastAsia"/>
          <w:color w:val="auto"/>
          <w:highlight w:val="none"/>
        </w:rPr>
        <w:t>通过不均匀系数 CU =d60/d10 ，判别渗透变形类型属于流土或管涌等。</w:t>
      </w:r>
    </w:p>
    <w:p>
      <w:pPr>
        <w:ind w:firstLine="480"/>
        <w:rPr>
          <w:rFonts w:hint="eastAsia"/>
          <w:color w:val="auto"/>
          <w:highlight w:val="none"/>
        </w:rPr>
      </w:pPr>
      <w:r>
        <w:rPr>
          <w:rFonts w:hint="eastAsia"/>
          <w:color w:val="auto"/>
          <w:highlight w:val="none"/>
        </w:rPr>
        <w:t>流土的临界水力坡降按下式计算：</w:t>
      </w:r>
    </w:p>
    <w:p>
      <w:pPr>
        <w:ind w:firstLine="480"/>
        <w:rPr>
          <w:rFonts w:hint="eastAsia"/>
          <w:color w:val="auto"/>
          <w:highlight w:val="none"/>
        </w:rPr>
      </w:pPr>
      <w:r>
        <w:rPr>
          <w:rFonts w:hint="eastAsia"/>
          <w:color w:val="auto"/>
          <w:highlight w:val="none"/>
        </w:rPr>
        <w:object>
          <v:shape id="_x0000_i1031" o:spt="75" type="#_x0000_t75" style="height:18pt;width:99pt;" o:ole="t" filled="f" o:preferrelative="t" stroked="f" coordsize="21600,21600">
            <v:path/>
            <v:fill on="f" alignshape="1"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pPr>
        <w:ind w:firstLine="480"/>
        <w:rPr>
          <w:rFonts w:hint="eastAsia"/>
          <w:color w:val="auto"/>
          <w:highlight w:val="none"/>
        </w:rPr>
      </w:pPr>
      <w:r>
        <w:rPr>
          <w:rFonts w:hint="eastAsia"/>
          <w:color w:val="auto"/>
          <w:highlight w:val="none"/>
        </w:rPr>
        <w:t>管涌水临界水力坡降按下式计算：</w:t>
      </w:r>
    </w:p>
    <w:p>
      <w:pPr>
        <w:ind w:firstLine="480"/>
        <w:rPr>
          <w:rFonts w:hint="eastAsia"/>
          <w:color w:val="auto"/>
          <w:highlight w:val="none"/>
        </w:rPr>
      </w:pPr>
      <w:r>
        <w:rPr>
          <w:rFonts w:hint="eastAsia"/>
          <w:color w:val="auto"/>
          <w:highlight w:val="none"/>
        </w:rPr>
        <w:object>
          <v:shape id="_x0000_i1032" o:spt="75" type="#_x0000_t75" style="height:34pt;width:139pt;" o:ole="t" filled="f" o:preferrelative="t" stroked="f" coordsize="21600,21600">
            <v:path/>
            <v:fill on="f" alignshape="1"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pPr>
        <w:ind w:firstLine="480"/>
        <w:rPr>
          <w:rFonts w:hint="eastAsia"/>
          <w:color w:val="auto"/>
          <w:highlight w:val="none"/>
        </w:rPr>
      </w:pPr>
      <w:r>
        <w:rPr>
          <w:rFonts w:hint="eastAsia"/>
          <w:color w:val="auto"/>
          <w:highlight w:val="none"/>
        </w:rPr>
        <w:t>无实验资料的根据《水利水电工程地质勘察规范》（GB50487-2008）附录G表取经验值。</w:t>
      </w:r>
    </w:p>
    <w:p>
      <w:pPr>
        <w:ind w:firstLine="480"/>
        <w:rPr>
          <w:rFonts w:hint="eastAsia"/>
          <w:color w:val="auto"/>
          <w:highlight w:val="none"/>
        </w:rPr>
      </w:pPr>
      <w:r>
        <w:rPr>
          <w:rFonts w:hint="eastAsia"/>
          <w:color w:val="auto"/>
          <w:highlight w:val="none"/>
        </w:rPr>
        <w:t>土的渗透变形判别及临界水力比降见下表。根据《水利水电工程地质勘察规范》（GB50487-2008），允许渗透坡降取2.0的安全系数。</w:t>
      </w:r>
    </w:p>
    <w:p>
      <w:pPr>
        <w:ind w:left="0" w:leftChars="0" w:firstLine="0" w:firstLineChars="0"/>
        <w:jc w:val="center"/>
        <w:rPr>
          <w:rFonts w:hint="eastAsia"/>
          <w:color w:val="auto"/>
          <w:highlight w:val="none"/>
          <w:lang w:val="en-US" w:eastAsia="zh-CN"/>
        </w:rPr>
      </w:pPr>
      <w:r>
        <w:rPr>
          <w:rFonts w:hint="eastAsia"/>
          <w:color w:val="auto"/>
          <w:highlight w:val="none"/>
          <w:lang w:val="en-US" w:eastAsia="zh-CN"/>
        </w:rPr>
        <w:t>表3-11  土的渗透变形判别及临界水力比降表</w:t>
      </w:r>
    </w:p>
    <w:tbl>
      <w:tblPr>
        <w:tblStyle w:val="47"/>
        <w:tblW w:w="91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1"/>
        <w:gridCol w:w="1756"/>
        <w:gridCol w:w="1863"/>
        <w:gridCol w:w="1333"/>
        <w:gridCol w:w="1612"/>
        <w:gridCol w:w="16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41" w:type="dxa"/>
            <w:vAlign w:val="center"/>
          </w:tcPr>
          <w:p>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宋体" w:hAnsi="宋体"/>
                <w:bCs/>
                <w:snapToGrid w:val="0"/>
                <w:color w:val="auto"/>
                <w:kern w:val="44"/>
                <w:sz w:val="21"/>
                <w:szCs w:val="21"/>
                <w:highlight w:val="none"/>
              </w:rPr>
            </w:pPr>
            <w:r>
              <w:rPr>
                <w:rFonts w:hint="eastAsia" w:ascii="宋体" w:hAnsi="宋体"/>
                <w:bCs/>
                <w:snapToGrid w:val="0"/>
                <w:color w:val="auto"/>
                <w:kern w:val="44"/>
                <w:sz w:val="21"/>
                <w:szCs w:val="21"/>
                <w:highlight w:val="none"/>
              </w:rPr>
              <w:t>层序</w:t>
            </w:r>
          </w:p>
        </w:tc>
        <w:tc>
          <w:tcPr>
            <w:tcW w:w="1756" w:type="dxa"/>
            <w:vAlign w:val="center"/>
          </w:tcPr>
          <w:p>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宋体" w:hAnsi="宋体"/>
                <w:bCs/>
                <w:snapToGrid w:val="0"/>
                <w:color w:val="auto"/>
                <w:kern w:val="44"/>
                <w:sz w:val="21"/>
                <w:szCs w:val="21"/>
                <w:highlight w:val="none"/>
              </w:rPr>
            </w:pPr>
            <w:r>
              <w:rPr>
                <w:rFonts w:hint="eastAsia" w:ascii="宋体" w:hAnsi="宋体"/>
                <w:bCs/>
                <w:snapToGrid w:val="0"/>
                <w:color w:val="auto"/>
                <w:kern w:val="44"/>
                <w:sz w:val="21"/>
                <w:szCs w:val="21"/>
                <w:highlight w:val="none"/>
              </w:rPr>
              <w:t>土层名称</w:t>
            </w:r>
          </w:p>
        </w:tc>
        <w:tc>
          <w:tcPr>
            <w:tcW w:w="1863" w:type="dxa"/>
            <w:vAlign w:val="center"/>
          </w:tcPr>
          <w:p>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宋体" w:hAnsi="宋体"/>
                <w:bCs/>
                <w:snapToGrid w:val="0"/>
                <w:color w:val="auto"/>
                <w:kern w:val="44"/>
                <w:sz w:val="21"/>
                <w:szCs w:val="21"/>
                <w:highlight w:val="none"/>
              </w:rPr>
            </w:pPr>
            <w:r>
              <w:rPr>
                <w:rFonts w:hint="eastAsia" w:ascii="宋体" w:hAnsi="宋体"/>
                <w:bCs/>
                <w:snapToGrid w:val="0"/>
                <w:color w:val="auto"/>
                <w:kern w:val="44"/>
                <w:sz w:val="21"/>
                <w:szCs w:val="21"/>
                <w:highlight w:val="none"/>
              </w:rPr>
              <w:t>状    态</w:t>
            </w:r>
          </w:p>
        </w:tc>
        <w:tc>
          <w:tcPr>
            <w:tcW w:w="1333" w:type="dxa"/>
            <w:vAlign w:val="center"/>
          </w:tcPr>
          <w:p>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宋体" w:hAnsi="宋体"/>
                <w:bCs/>
                <w:snapToGrid w:val="0"/>
                <w:color w:val="auto"/>
                <w:kern w:val="44"/>
                <w:sz w:val="21"/>
                <w:szCs w:val="21"/>
                <w:highlight w:val="none"/>
              </w:rPr>
            </w:pPr>
            <w:r>
              <w:rPr>
                <w:rFonts w:hint="eastAsia" w:ascii="宋体" w:hAnsi="宋体"/>
                <w:bCs/>
                <w:snapToGrid w:val="0"/>
                <w:color w:val="auto"/>
                <w:kern w:val="44"/>
                <w:sz w:val="21"/>
                <w:szCs w:val="21"/>
                <w:highlight w:val="none"/>
              </w:rPr>
              <w:t>渗透变型类型</w:t>
            </w:r>
          </w:p>
        </w:tc>
        <w:tc>
          <w:tcPr>
            <w:tcW w:w="1612" w:type="dxa"/>
            <w:vAlign w:val="center"/>
          </w:tcPr>
          <w:p>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宋体" w:hAnsi="宋体"/>
                <w:bCs/>
                <w:snapToGrid w:val="0"/>
                <w:color w:val="auto"/>
                <w:kern w:val="44"/>
                <w:sz w:val="21"/>
                <w:szCs w:val="21"/>
                <w:highlight w:val="none"/>
              </w:rPr>
            </w:pPr>
            <w:r>
              <w:rPr>
                <w:rFonts w:hint="eastAsia" w:ascii="宋体" w:hAnsi="宋体"/>
                <w:bCs/>
                <w:snapToGrid w:val="0"/>
                <w:color w:val="auto"/>
                <w:kern w:val="44"/>
                <w:sz w:val="21"/>
                <w:szCs w:val="21"/>
                <w:highlight w:val="none"/>
              </w:rPr>
              <w:t>临界水力比降</w:t>
            </w:r>
          </w:p>
        </w:tc>
        <w:tc>
          <w:tcPr>
            <w:tcW w:w="1613" w:type="dxa"/>
            <w:vAlign w:val="center"/>
          </w:tcPr>
          <w:p>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宋体" w:hAnsi="宋体"/>
                <w:bCs/>
                <w:snapToGrid w:val="0"/>
                <w:color w:val="auto"/>
                <w:kern w:val="44"/>
                <w:sz w:val="21"/>
                <w:szCs w:val="21"/>
                <w:highlight w:val="none"/>
              </w:rPr>
            </w:pPr>
            <w:r>
              <w:rPr>
                <w:rFonts w:hint="eastAsia" w:ascii="宋体" w:hAnsi="宋体"/>
                <w:bCs/>
                <w:snapToGrid w:val="0"/>
                <w:color w:val="auto"/>
                <w:kern w:val="44"/>
                <w:sz w:val="21"/>
                <w:szCs w:val="21"/>
                <w:highlight w:val="none"/>
              </w:rPr>
              <w:t>允许水力比降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41" w:type="dxa"/>
            <w:vAlign w:val="center"/>
          </w:tcPr>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color w:val="auto"/>
                <w:kern w:val="0"/>
                <w:sz w:val="21"/>
                <w:szCs w:val="21"/>
                <w:highlight w:val="none"/>
              </w:rPr>
            </w:pPr>
            <w:r>
              <w:rPr>
                <w:rFonts w:hint="eastAsia" w:ascii="宋体" w:hAnsi="宋体" w:cs="宋体"/>
                <w:color w:val="auto"/>
                <w:kern w:val="0"/>
                <w:sz w:val="21"/>
                <w:szCs w:val="21"/>
                <w:highlight w:val="none"/>
              </w:rPr>
              <w:t>①</w:t>
            </w:r>
          </w:p>
        </w:tc>
        <w:tc>
          <w:tcPr>
            <w:tcW w:w="1756" w:type="dxa"/>
            <w:vAlign w:val="center"/>
          </w:tcPr>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ascii="宋体" w:hAnsi="宋体" w:cs="宋体"/>
                <w:color w:val="auto"/>
                <w:kern w:val="0"/>
                <w:sz w:val="21"/>
                <w:szCs w:val="21"/>
                <w:highlight w:val="none"/>
              </w:rPr>
            </w:pPr>
            <w:r>
              <w:rPr>
                <w:rFonts w:hint="eastAsia" w:ascii="宋体" w:hAnsi="宋体" w:cs="宋体"/>
                <w:color w:val="auto"/>
                <w:kern w:val="0"/>
                <w:sz w:val="21"/>
                <w:szCs w:val="21"/>
                <w:highlight w:val="none"/>
              </w:rPr>
              <w:t>填土</w:t>
            </w:r>
          </w:p>
        </w:tc>
        <w:tc>
          <w:tcPr>
            <w:tcW w:w="1863" w:type="dxa"/>
            <w:vAlign w:val="center"/>
          </w:tcPr>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ascii="宋体" w:hAnsi="宋体" w:cs="宋体"/>
                <w:color w:val="auto"/>
                <w:kern w:val="0"/>
                <w:sz w:val="21"/>
                <w:szCs w:val="21"/>
                <w:highlight w:val="none"/>
              </w:rPr>
            </w:pPr>
            <w:r>
              <w:rPr>
                <w:rFonts w:hint="eastAsia" w:ascii="宋体" w:hAnsi="宋体" w:cs="宋体"/>
                <w:color w:val="auto"/>
                <w:kern w:val="0"/>
                <w:sz w:val="21"/>
                <w:szCs w:val="21"/>
                <w:highlight w:val="none"/>
              </w:rPr>
              <w:t>可塑</w:t>
            </w:r>
          </w:p>
        </w:tc>
        <w:tc>
          <w:tcPr>
            <w:tcW w:w="1333" w:type="dxa"/>
            <w:vAlign w:val="center"/>
          </w:tcPr>
          <w:p>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宋体" w:hAnsi="宋体"/>
                <w:bCs/>
                <w:snapToGrid w:val="0"/>
                <w:color w:val="auto"/>
                <w:kern w:val="44"/>
                <w:sz w:val="21"/>
                <w:szCs w:val="21"/>
                <w:highlight w:val="none"/>
              </w:rPr>
            </w:pPr>
            <w:r>
              <w:rPr>
                <w:rFonts w:hint="eastAsia" w:ascii="宋体" w:hAnsi="宋体"/>
                <w:bCs/>
                <w:snapToGrid w:val="0"/>
                <w:color w:val="auto"/>
                <w:kern w:val="44"/>
                <w:sz w:val="21"/>
                <w:szCs w:val="21"/>
                <w:highlight w:val="none"/>
              </w:rPr>
              <w:t>流土</w:t>
            </w:r>
          </w:p>
        </w:tc>
        <w:tc>
          <w:tcPr>
            <w:tcW w:w="1612" w:type="dxa"/>
            <w:vAlign w:val="center"/>
          </w:tcPr>
          <w:p>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宋体" w:hAnsi="宋体"/>
                <w:bCs/>
                <w:snapToGrid w:val="0"/>
                <w:color w:val="auto"/>
                <w:kern w:val="44"/>
                <w:sz w:val="21"/>
                <w:szCs w:val="21"/>
                <w:highlight w:val="none"/>
              </w:rPr>
            </w:pPr>
            <w:r>
              <w:rPr>
                <w:rFonts w:hint="eastAsia" w:ascii="宋体" w:hAnsi="宋体"/>
                <w:bCs/>
                <w:snapToGrid w:val="0"/>
                <w:color w:val="auto"/>
                <w:kern w:val="44"/>
                <w:sz w:val="21"/>
                <w:szCs w:val="21"/>
                <w:highlight w:val="none"/>
              </w:rPr>
              <w:t>0.86</w:t>
            </w:r>
          </w:p>
        </w:tc>
        <w:tc>
          <w:tcPr>
            <w:tcW w:w="1613" w:type="dxa"/>
            <w:vAlign w:val="center"/>
          </w:tcPr>
          <w:p>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宋体" w:hAnsi="宋体"/>
                <w:bCs/>
                <w:snapToGrid w:val="0"/>
                <w:color w:val="auto"/>
                <w:kern w:val="44"/>
                <w:sz w:val="21"/>
                <w:szCs w:val="21"/>
                <w:highlight w:val="none"/>
              </w:rPr>
            </w:pPr>
            <w:r>
              <w:rPr>
                <w:rFonts w:hint="eastAsia" w:ascii="宋体" w:hAnsi="宋体"/>
                <w:bCs/>
                <w:snapToGrid w:val="0"/>
                <w:color w:val="auto"/>
                <w:kern w:val="44"/>
                <w:sz w:val="21"/>
                <w:szCs w:val="21"/>
                <w:highlight w:val="none"/>
              </w:rPr>
              <w:t>0.43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41" w:type="dxa"/>
            <w:vAlign w:val="center"/>
          </w:tcPr>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②</w:t>
            </w:r>
          </w:p>
        </w:tc>
        <w:tc>
          <w:tcPr>
            <w:tcW w:w="1756" w:type="dxa"/>
            <w:vAlign w:val="center"/>
          </w:tcPr>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ascii="宋体" w:hAnsi="宋体" w:cs="宋体"/>
                <w:color w:val="auto"/>
                <w:kern w:val="0"/>
                <w:sz w:val="21"/>
                <w:szCs w:val="21"/>
                <w:highlight w:val="none"/>
              </w:rPr>
            </w:pPr>
            <w:r>
              <w:rPr>
                <w:rFonts w:hint="eastAsia" w:ascii="宋体" w:hAnsi="宋体" w:cs="宋体"/>
                <w:color w:val="auto"/>
                <w:kern w:val="0"/>
                <w:sz w:val="21"/>
                <w:szCs w:val="21"/>
                <w:highlight w:val="none"/>
              </w:rPr>
              <w:t>粉质粘土</w:t>
            </w:r>
          </w:p>
        </w:tc>
        <w:tc>
          <w:tcPr>
            <w:tcW w:w="1863" w:type="dxa"/>
            <w:vAlign w:val="center"/>
          </w:tcPr>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ascii="宋体" w:hAnsi="宋体" w:cs="宋体"/>
                <w:color w:val="auto"/>
                <w:kern w:val="0"/>
                <w:sz w:val="21"/>
                <w:szCs w:val="21"/>
                <w:highlight w:val="none"/>
              </w:rPr>
            </w:pPr>
            <w:r>
              <w:rPr>
                <w:rFonts w:hint="eastAsia" w:ascii="宋体" w:hAnsi="宋体" w:cs="宋体"/>
                <w:color w:val="auto"/>
                <w:kern w:val="0"/>
                <w:sz w:val="21"/>
                <w:szCs w:val="21"/>
                <w:highlight w:val="none"/>
              </w:rPr>
              <w:t>可塑</w:t>
            </w:r>
          </w:p>
        </w:tc>
        <w:tc>
          <w:tcPr>
            <w:tcW w:w="1333" w:type="dxa"/>
            <w:vAlign w:val="center"/>
          </w:tcPr>
          <w:p>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宋体" w:hAnsi="宋体"/>
                <w:bCs/>
                <w:snapToGrid w:val="0"/>
                <w:color w:val="auto"/>
                <w:kern w:val="44"/>
                <w:sz w:val="21"/>
                <w:szCs w:val="21"/>
                <w:highlight w:val="none"/>
              </w:rPr>
            </w:pPr>
            <w:r>
              <w:rPr>
                <w:rFonts w:hint="eastAsia" w:ascii="宋体" w:hAnsi="宋体"/>
                <w:bCs/>
                <w:snapToGrid w:val="0"/>
                <w:color w:val="auto"/>
                <w:kern w:val="44"/>
                <w:sz w:val="21"/>
                <w:szCs w:val="21"/>
                <w:highlight w:val="none"/>
              </w:rPr>
              <w:t>流土</w:t>
            </w:r>
          </w:p>
        </w:tc>
        <w:tc>
          <w:tcPr>
            <w:tcW w:w="1612" w:type="dxa"/>
            <w:vAlign w:val="center"/>
          </w:tcPr>
          <w:p>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宋体" w:hAnsi="宋体"/>
                <w:bCs/>
                <w:snapToGrid w:val="0"/>
                <w:color w:val="auto"/>
                <w:kern w:val="44"/>
                <w:sz w:val="21"/>
                <w:szCs w:val="21"/>
                <w:highlight w:val="none"/>
              </w:rPr>
            </w:pPr>
            <w:r>
              <w:rPr>
                <w:rFonts w:hint="eastAsia" w:ascii="宋体" w:hAnsi="宋体"/>
                <w:bCs/>
                <w:snapToGrid w:val="0"/>
                <w:color w:val="auto"/>
                <w:kern w:val="44"/>
                <w:sz w:val="21"/>
                <w:szCs w:val="21"/>
                <w:highlight w:val="none"/>
              </w:rPr>
              <w:t>0.82</w:t>
            </w:r>
          </w:p>
        </w:tc>
        <w:tc>
          <w:tcPr>
            <w:tcW w:w="1613" w:type="dxa"/>
            <w:vAlign w:val="center"/>
          </w:tcPr>
          <w:p>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宋体" w:hAnsi="宋体"/>
                <w:bCs/>
                <w:snapToGrid w:val="0"/>
                <w:color w:val="auto"/>
                <w:kern w:val="44"/>
                <w:sz w:val="21"/>
                <w:szCs w:val="21"/>
                <w:highlight w:val="none"/>
              </w:rPr>
            </w:pPr>
            <w:r>
              <w:rPr>
                <w:rFonts w:hint="eastAsia" w:ascii="宋体" w:hAnsi="宋体"/>
                <w:bCs/>
                <w:snapToGrid w:val="0"/>
                <w:color w:val="auto"/>
                <w:kern w:val="44"/>
                <w:sz w:val="21"/>
                <w:szCs w:val="21"/>
                <w:highlight w:val="none"/>
              </w:rPr>
              <w:t>0.41</w:t>
            </w:r>
          </w:p>
        </w:tc>
      </w:tr>
    </w:tbl>
    <w:p>
      <w:pPr>
        <w:ind w:firstLine="480"/>
        <w:rPr>
          <w:rFonts w:hint="eastAsia"/>
          <w:color w:val="auto"/>
          <w:highlight w:val="none"/>
        </w:rPr>
      </w:pPr>
      <w:r>
        <w:rPr>
          <w:rFonts w:hint="eastAsia"/>
          <w:color w:val="auto"/>
          <w:highlight w:val="none"/>
        </w:rPr>
        <w:t>由上表可见，粘性土渗透变形形式为流土，临界水力比降较大，砂土临界水力比降较小，相对来说容易产生渗透破坏。</w:t>
      </w:r>
    </w:p>
    <w:p>
      <w:pPr>
        <w:pStyle w:val="335"/>
        <w:spacing w:before="120" w:after="120"/>
        <w:rPr>
          <w:rFonts w:hint="eastAsia"/>
          <w:color w:val="auto"/>
          <w:highlight w:val="none"/>
          <w:lang w:val="en-US" w:eastAsia="zh-CN"/>
        </w:rPr>
      </w:pPr>
      <w:bookmarkStart w:id="219" w:name="_Toc109332921"/>
      <w:r>
        <w:rPr>
          <w:rFonts w:hint="eastAsia"/>
          <w:color w:val="auto"/>
          <w:highlight w:val="none"/>
          <w:lang w:val="en-US" w:eastAsia="zh-CN"/>
        </w:rPr>
        <w:t>3.4.2冲刷问题</w:t>
      </w:r>
      <w:bookmarkEnd w:id="219"/>
    </w:p>
    <w:p>
      <w:pPr>
        <w:ind w:firstLine="480"/>
        <w:rPr>
          <w:rFonts w:hint="eastAsia"/>
          <w:color w:val="auto"/>
          <w:highlight w:val="none"/>
          <w:lang w:eastAsia="zh-CN"/>
        </w:rPr>
      </w:pPr>
      <w:r>
        <w:rPr>
          <w:rFonts w:hint="eastAsia"/>
          <w:color w:val="auto"/>
          <w:highlight w:val="none"/>
        </w:rPr>
        <w:t>堤基地层结构主要为粘土。粘土的抗冲流速：0.75~1.0（m/s）</w:t>
      </w:r>
      <w:r>
        <w:rPr>
          <w:rFonts w:hint="eastAsia"/>
          <w:color w:val="auto"/>
          <w:highlight w:val="none"/>
          <w:lang w:eastAsia="zh-CN"/>
        </w:rPr>
        <w:t>。</w:t>
      </w:r>
    </w:p>
    <w:p>
      <w:pPr>
        <w:ind w:firstLine="480"/>
        <w:rPr>
          <w:rFonts w:hint="eastAsia"/>
          <w:color w:val="auto"/>
          <w:highlight w:val="none"/>
        </w:rPr>
      </w:pPr>
      <w:r>
        <w:rPr>
          <w:rFonts w:hint="eastAsia"/>
          <w:color w:val="auto"/>
          <w:highlight w:val="none"/>
        </w:rPr>
        <w:t>堤身人工填土由岩石风化土及砾、块石为主。成分复杂，易冲刷，局部存在。</w:t>
      </w:r>
    </w:p>
    <w:p>
      <w:pPr>
        <w:pStyle w:val="335"/>
        <w:spacing w:before="120" w:after="120"/>
        <w:rPr>
          <w:rFonts w:hint="eastAsia"/>
          <w:color w:val="auto"/>
          <w:highlight w:val="none"/>
          <w:lang w:val="en-US" w:eastAsia="zh-CN"/>
        </w:rPr>
      </w:pPr>
      <w:bookmarkStart w:id="220" w:name="_Toc109332922"/>
      <w:r>
        <w:rPr>
          <w:rFonts w:hint="eastAsia"/>
          <w:color w:val="auto"/>
          <w:highlight w:val="none"/>
          <w:lang w:val="en-US" w:eastAsia="zh-CN"/>
        </w:rPr>
        <w:t>3.4.3地震稳定性评价</w:t>
      </w:r>
      <w:bookmarkEnd w:id="220"/>
    </w:p>
    <w:p>
      <w:pPr>
        <w:ind w:firstLine="480"/>
        <w:rPr>
          <w:rFonts w:hint="eastAsia"/>
          <w:color w:val="auto"/>
          <w:highlight w:val="none"/>
        </w:rPr>
      </w:pPr>
      <w:r>
        <w:rPr>
          <w:rFonts w:hint="eastAsia"/>
          <w:color w:val="auto"/>
          <w:highlight w:val="none"/>
        </w:rPr>
        <w:t>工程在区域上处于构造相对稳定块体，对本工程区域稳定性影响相对较小。</w:t>
      </w:r>
    </w:p>
    <w:p>
      <w:pPr>
        <w:ind w:firstLine="480"/>
        <w:rPr>
          <w:rFonts w:hint="eastAsia"/>
          <w:color w:val="auto"/>
          <w:highlight w:val="none"/>
        </w:rPr>
      </w:pPr>
      <w:r>
        <w:rPr>
          <w:rFonts w:hint="eastAsia"/>
          <w:color w:val="auto"/>
          <w:highlight w:val="none"/>
        </w:rPr>
        <w:t>根据《中国地震动参数区划图》（GB18306-2015），本区地震动峰值加速度为0.05g，相当于地震基本烈度</w:t>
      </w:r>
      <w:r>
        <w:rPr>
          <w:rFonts w:hint="eastAsia"/>
          <w:color w:val="auto"/>
          <w:highlight w:val="none"/>
        </w:rPr>
        <w:fldChar w:fldCharType="begin"/>
      </w:r>
      <w:r>
        <w:rPr>
          <w:rFonts w:hint="eastAsia"/>
          <w:color w:val="auto"/>
          <w:highlight w:val="none"/>
        </w:rPr>
        <w:instrText xml:space="preserve"> = 7 \* ROMAN </w:instrText>
      </w:r>
      <w:r>
        <w:rPr>
          <w:rFonts w:hint="eastAsia"/>
          <w:color w:val="auto"/>
          <w:highlight w:val="none"/>
        </w:rPr>
        <w:fldChar w:fldCharType="separate"/>
      </w:r>
      <w:r>
        <w:rPr>
          <w:rFonts w:hint="eastAsia"/>
          <w:color w:val="auto"/>
          <w:highlight w:val="none"/>
        </w:rPr>
        <w:t>VI</w:t>
      </w:r>
      <w:r>
        <w:rPr>
          <w:rFonts w:hint="eastAsia"/>
          <w:color w:val="auto"/>
          <w:highlight w:val="none"/>
        </w:rPr>
        <w:fldChar w:fldCharType="end"/>
      </w:r>
      <w:r>
        <w:rPr>
          <w:rFonts w:hint="eastAsia"/>
          <w:color w:val="auto"/>
          <w:highlight w:val="none"/>
        </w:rPr>
        <w:t>度。本工程主要揭露地层为</w:t>
      </w:r>
      <w:r>
        <w:rPr>
          <w:rFonts w:hint="eastAsia"/>
          <w:color w:val="auto"/>
          <w:highlight w:val="none"/>
          <w:lang w:val="en-US" w:eastAsia="zh-CN"/>
        </w:rPr>
        <w:t>人工填土</w:t>
      </w:r>
      <w:r>
        <w:rPr>
          <w:rFonts w:hint="eastAsia"/>
          <w:color w:val="auto"/>
          <w:highlight w:val="none"/>
        </w:rPr>
        <w:t>、粉质黏土等，本区域属地震基本烈度</w:t>
      </w:r>
      <w:r>
        <w:rPr>
          <w:rFonts w:hint="eastAsia"/>
          <w:color w:val="auto"/>
          <w:highlight w:val="none"/>
        </w:rPr>
        <w:fldChar w:fldCharType="begin"/>
      </w:r>
      <w:r>
        <w:rPr>
          <w:rFonts w:hint="eastAsia"/>
          <w:color w:val="auto"/>
          <w:highlight w:val="none"/>
        </w:rPr>
        <w:instrText xml:space="preserve"> = 7 \* ROMAN </w:instrText>
      </w:r>
      <w:r>
        <w:rPr>
          <w:rFonts w:hint="eastAsia"/>
          <w:color w:val="auto"/>
          <w:highlight w:val="none"/>
        </w:rPr>
        <w:fldChar w:fldCharType="separate"/>
      </w:r>
      <w:r>
        <w:rPr>
          <w:rFonts w:hint="eastAsia"/>
          <w:color w:val="auto"/>
          <w:highlight w:val="none"/>
        </w:rPr>
        <w:t>VI</w:t>
      </w:r>
      <w:r>
        <w:rPr>
          <w:rFonts w:hint="eastAsia"/>
          <w:color w:val="auto"/>
          <w:highlight w:val="none"/>
        </w:rPr>
        <w:fldChar w:fldCharType="end"/>
      </w:r>
      <w:r>
        <w:rPr>
          <w:rFonts w:hint="eastAsia"/>
          <w:color w:val="auto"/>
          <w:highlight w:val="none"/>
        </w:rPr>
        <w:t>度，可不考虑地震液化作用。</w:t>
      </w:r>
    </w:p>
    <w:p>
      <w:pPr>
        <w:pStyle w:val="3"/>
        <w:rPr>
          <w:rFonts w:hint="eastAsia"/>
          <w:color w:val="auto"/>
          <w:highlight w:val="none"/>
          <w:lang w:val="en-US" w:eastAsia="zh-CN"/>
        </w:rPr>
      </w:pPr>
      <w:bookmarkStart w:id="221" w:name="_Toc109332923"/>
      <w:bookmarkStart w:id="222" w:name="_Toc344211468"/>
      <w:bookmarkStart w:id="223" w:name="_Toc8690"/>
      <w:r>
        <w:rPr>
          <w:rFonts w:hint="eastAsia"/>
          <w:color w:val="auto"/>
          <w:highlight w:val="none"/>
          <w:lang w:val="en-US" w:eastAsia="zh-CN"/>
        </w:rPr>
        <w:t>3.5 天然建筑材料</w:t>
      </w:r>
      <w:bookmarkEnd w:id="221"/>
      <w:bookmarkEnd w:id="222"/>
      <w:bookmarkEnd w:id="223"/>
    </w:p>
    <w:p>
      <w:pPr>
        <w:ind w:firstLine="480"/>
        <w:rPr>
          <w:rFonts w:hint="eastAsia"/>
          <w:color w:val="auto"/>
          <w:highlight w:val="none"/>
        </w:rPr>
      </w:pPr>
      <w:bookmarkStart w:id="224" w:name="_Toc240646420"/>
      <w:r>
        <w:rPr>
          <w:rFonts w:hint="eastAsia"/>
          <w:color w:val="auto"/>
          <w:highlight w:val="none"/>
        </w:rPr>
        <w:t>（一）任务要求及勘察概况</w:t>
      </w:r>
      <w:bookmarkEnd w:id="224"/>
    </w:p>
    <w:p>
      <w:pPr>
        <w:ind w:firstLine="480"/>
        <w:rPr>
          <w:rFonts w:hint="eastAsia"/>
          <w:color w:val="auto"/>
          <w:highlight w:val="none"/>
        </w:rPr>
      </w:pPr>
      <w:r>
        <w:rPr>
          <w:rFonts w:hint="eastAsia"/>
          <w:color w:val="auto"/>
          <w:highlight w:val="none"/>
        </w:rPr>
        <w:t>按照《水利水电工程地质勘察规范》（GB50487-2008），并参照《水利水电工程天然建筑材料勘察规程》（SL 251-2015），查明料场土层结构，储量、质量、开采、运输条件等；调查砂、石料的储量、质量及开采运输条件。</w:t>
      </w:r>
    </w:p>
    <w:p>
      <w:pPr>
        <w:ind w:firstLine="480"/>
        <w:rPr>
          <w:rFonts w:hint="eastAsia"/>
          <w:color w:val="auto"/>
          <w:highlight w:val="none"/>
        </w:rPr>
      </w:pPr>
      <w:bookmarkStart w:id="225" w:name="_Toc240646421"/>
      <w:r>
        <w:rPr>
          <w:rFonts w:hint="eastAsia"/>
          <w:color w:val="auto"/>
          <w:highlight w:val="none"/>
        </w:rPr>
        <w:t>（二）土料</w:t>
      </w:r>
      <w:bookmarkEnd w:id="225"/>
    </w:p>
    <w:p>
      <w:pPr>
        <w:ind w:firstLine="480"/>
        <w:rPr>
          <w:rFonts w:hint="eastAsia"/>
          <w:color w:val="auto"/>
          <w:highlight w:val="none"/>
        </w:rPr>
      </w:pPr>
      <w:r>
        <w:rPr>
          <w:rFonts w:hint="eastAsia"/>
          <w:color w:val="auto"/>
          <w:highlight w:val="none"/>
        </w:rPr>
        <w:t>工程场区及附近为低丘、冲积平原过渡地带，无基岩露头，无块石料场分布，沿线河道中无采砂场等，目前主要采用人工机制砂、碎石，购买点位于化区城北建材市场购买，料场岩性为燕山期侵入花岗岩类（J η  γ  ），其岩石坚硬、耐磨度高，抗风化能力强，无碱活性，储量和质量满足本工程要求。料场距工程场区平均距离约25km。</w:t>
      </w:r>
    </w:p>
    <w:p>
      <w:pPr>
        <w:pStyle w:val="3"/>
        <w:rPr>
          <w:rFonts w:hint="eastAsia"/>
          <w:color w:val="auto"/>
          <w:highlight w:val="none"/>
          <w:lang w:val="en-US" w:eastAsia="zh-CN"/>
        </w:rPr>
      </w:pPr>
      <w:bookmarkStart w:id="226" w:name="_Toc109332924"/>
      <w:bookmarkStart w:id="227" w:name="_Toc344211469"/>
      <w:bookmarkStart w:id="228" w:name="_Toc22180"/>
      <w:r>
        <w:rPr>
          <w:rFonts w:hint="eastAsia"/>
          <w:color w:val="auto"/>
          <w:highlight w:val="none"/>
          <w:lang w:val="en-US" w:eastAsia="zh-CN"/>
        </w:rPr>
        <w:t>3.6 结论与建议</w:t>
      </w:r>
      <w:bookmarkEnd w:id="226"/>
      <w:bookmarkEnd w:id="227"/>
      <w:bookmarkEnd w:id="228"/>
    </w:p>
    <w:p>
      <w:pPr>
        <w:ind w:firstLine="480"/>
        <w:rPr>
          <w:rFonts w:hint="eastAsia"/>
          <w:color w:val="auto"/>
          <w:highlight w:val="none"/>
        </w:rPr>
      </w:pPr>
      <w:r>
        <w:rPr>
          <w:rFonts w:hint="eastAsia"/>
          <w:color w:val="auto"/>
          <w:highlight w:val="none"/>
        </w:rPr>
        <w:t>1、本次勘察是按设计下达的勘察任务要求及相关规范进行，查明了的地层岩性、工程地质条件、水文水质条件，基本满足初步阶段精度要求。</w:t>
      </w:r>
    </w:p>
    <w:p>
      <w:pPr>
        <w:ind w:firstLine="480"/>
        <w:rPr>
          <w:rFonts w:hint="eastAsia"/>
          <w:color w:val="auto"/>
          <w:highlight w:val="none"/>
        </w:rPr>
      </w:pPr>
      <w:r>
        <w:rPr>
          <w:rFonts w:hint="eastAsia"/>
          <w:color w:val="auto"/>
          <w:highlight w:val="none"/>
        </w:rPr>
        <w:t>2、本区域未发现有规模较大的滑坡、崩塌、泥石流等不良物理地质现象，但由于河流域植被破坏，水土流失较严重，影响到两岸边坡稳定性。</w:t>
      </w:r>
    </w:p>
    <w:p>
      <w:pPr>
        <w:ind w:firstLine="480"/>
        <w:rPr>
          <w:rFonts w:hint="eastAsia"/>
          <w:color w:val="auto"/>
          <w:highlight w:val="none"/>
        </w:rPr>
      </w:pPr>
      <w:r>
        <w:rPr>
          <w:rFonts w:hint="eastAsia"/>
          <w:color w:val="auto"/>
          <w:highlight w:val="none"/>
        </w:rPr>
        <w:t>3、根据《中国地震动参数区划图》（GB18306-2015），本区地震动峰值加速度为0.05g，相当于地震基本烈度</w:t>
      </w:r>
      <w:r>
        <w:rPr>
          <w:rFonts w:hint="eastAsia"/>
          <w:color w:val="auto"/>
          <w:highlight w:val="none"/>
        </w:rPr>
        <w:fldChar w:fldCharType="begin"/>
      </w:r>
      <w:r>
        <w:rPr>
          <w:rFonts w:hint="eastAsia"/>
          <w:color w:val="auto"/>
          <w:highlight w:val="none"/>
        </w:rPr>
        <w:instrText xml:space="preserve"> = 7 \* ROMAN </w:instrText>
      </w:r>
      <w:r>
        <w:rPr>
          <w:rFonts w:hint="eastAsia"/>
          <w:color w:val="auto"/>
          <w:highlight w:val="none"/>
        </w:rPr>
        <w:fldChar w:fldCharType="separate"/>
      </w:r>
      <w:r>
        <w:rPr>
          <w:rFonts w:hint="eastAsia"/>
          <w:color w:val="auto"/>
          <w:highlight w:val="none"/>
        </w:rPr>
        <w:t>VI</w:t>
      </w:r>
      <w:r>
        <w:rPr>
          <w:rFonts w:hint="eastAsia"/>
          <w:color w:val="auto"/>
          <w:highlight w:val="none"/>
        </w:rPr>
        <w:fldChar w:fldCharType="end"/>
      </w:r>
      <w:r>
        <w:rPr>
          <w:rFonts w:hint="eastAsia"/>
          <w:color w:val="auto"/>
          <w:highlight w:val="none"/>
        </w:rPr>
        <w:t>度。</w:t>
      </w:r>
    </w:p>
    <w:p>
      <w:pPr>
        <w:ind w:firstLine="480"/>
        <w:rPr>
          <w:rFonts w:hint="eastAsia"/>
          <w:color w:val="auto"/>
          <w:highlight w:val="none"/>
        </w:rPr>
      </w:pPr>
      <w:r>
        <w:rPr>
          <w:rFonts w:hint="eastAsia"/>
          <w:color w:val="auto"/>
          <w:highlight w:val="none"/>
        </w:rPr>
        <w:t>4、区域地下水对混凝土无腐蚀性，对钢结构存在弱腐蚀性。</w:t>
      </w:r>
    </w:p>
    <w:p>
      <w:pPr>
        <w:ind w:firstLine="480"/>
        <w:rPr>
          <w:rFonts w:hint="eastAsia"/>
          <w:color w:val="auto"/>
          <w:highlight w:val="none"/>
        </w:rPr>
      </w:pPr>
      <w:r>
        <w:rPr>
          <w:rFonts w:hint="eastAsia"/>
          <w:color w:val="auto"/>
          <w:highlight w:val="none"/>
        </w:rPr>
        <w:t>5、堤基地层结构主要为砂-粘土，下部为风化岩。含卵石粗砂层普遍存在，厚度分布不均匀，存在强度高，压缩性小、强透水等特点，工程地质条件一般，需注意渗漏问题。粉质粘土-砂质黏土普遍存在，强度一般，透水性弱，构成堤基相对隔水层。</w:t>
      </w:r>
    </w:p>
    <w:p>
      <w:pPr>
        <w:ind w:firstLine="480"/>
        <w:rPr>
          <w:rFonts w:hint="eastAsia"/>
          <w:color w:val="auto"/>
          <w:highlight w:val="none"/>
        </w:rPr>
      </w:pPr>
      <w:r>
        <w:rPr>
          <w:rFonts w:hint="eastAsia"/>
          <w:color w:val="auto"/>
          <w:highlight w:val="none"/>
        </w:rPr>
        <w:t>6、粘性土渗透变形形式为流土，临界水力比降较大，砂、卵石临界水力比降较小，相对来说容易产生渗透破坏。</w:t>
      </w:r>
    </w:p>
    <w:bookmarkEnd w:id="181"/>
    <w:bookmarkEnd w:id="182"/>
    <w:p>
      <w:pPr>
        <w:pStyle w:val="333"/>
        <w:rPr>
          <w:color w:val="auto"/>
          <w:highlight w:val="none"/>
        </w:rPr>
        <w:sectPr>
          <w:pgSz w:w="11850" w:h="16783"/>
          <w:pgMar w:top="1440" w:right="1247" w:bottom="1440" w:left="1701" w:header="851" w:footer="992" w:gutter="0"/>
          <w:pgBorders>
            <w:top w:val="none" w:sz="0" w:space="0"/>
            <w:left w:val="none" w:sz="0" w:space="0"/>
            <w:bottom w:val="none" w:sz="0" w:space="0"/>
            <w:right w:val="none" w:sz="0" w:space="0"/>
          </w:pgBorders>
          <w:pgNumType w:fmt="decimal"/>
          <w:cols w:space="425" w:num="1"/>
          <w:docGrid w:linePitch="312" w:charSpace="0"/>
        </w:sectPr>
      </w:pPr>
      <w:r>
        <w:rPr>
          <w:rFonts w:hint="eastAsia"/>
          <w:color w:val="auto"/>
          <w:highlight w:val="none"/>
        </w:rPr>
        <w:t xml:space="preserve">         </w:t>
      </w:r>
    </w:p>
    <w:p>
      <w:pPr>
        <w:pStyle w:val="2"/>
        <w:keepNext w:val="0"/>
        <w:keepLines w:val="0"/>
        <w:pageBreakBefore/>
        <w:spacing w:before="156" w:beforeLines="50" w:after="156" w:afterLines="50" w:line="360" w:lineRule="auto"/>
        <w:ind w:firstLine="640"/>
        <w:rPr>
          <w:b/>
          <w:color w:val="auto"/>
          <w:szCs w:val="32"/>
          <w:highlight w:val="none"/>
        </w:rPr>
      </w:pPr>
      <w:bookmarkStart w:id="229" w:name="_Toc536295081"/>
      <w:bookmarkStart w:id="230" w:name="_Toc513816910"/>
      <w:bookmarkStart w:id="231" w:name="_Toc11759"/>
      <w:bookmarkStart w:id="232" w:name="_Toc536295106"/>
      <w:r>
        <w:rPr>
          <w:rFonts w:hint="eastAsia"/>
          <w:color w:val="auto"/>
          <w:szCs w:val="32"/>
          <w:highlight w:val="none"/>
        </w:rPr>
        <w:t xml:space="preserve">4 </w:t>
      </w:r>
      <w:r>
        <w:rPr>
          <w:rFonts w:hint="eastAsia"/>
          <w:color w:val="auto"/>
          <w:szCs w:val="32"/>
          <w:highlight w:val="none"/>
          <w:lang w:val="en-US" w:eastAsia="zh-CN"/>
        </w:rPr>
        <w:t xml:space="preserve"> </w:t>
      </w:r>
      <w:r>
        <w:rPr>
          <w:rFonts w:hint="eastAsia"/>
          <w:color w:val="auto"/>
          <w:szCs w:val="32"/>
          <w:highlight w:val="none"/>
        </w:rPr>
        <w:t>工程任务和规模</w:t>
      </w:r>
      <w:bookmarkEnd w:id="229"/>
      <w:bookmarkEnd w:id="230"/>
      <w:bookmarkEnd w:id="231"/>
    </w:p>
    <w:p>
      <w:pPr>
        <w:pStyle w:val="3"/>
        <w:rPr>
          <w:color w:val="auto"/>
          <w:highlight w:val="none"/>
        </w:rPr>
      </w:pPr>
      <w:bookmarkStart w:id="233" w:name="_Toc508891962"/>
      <w:bookmarkStart w:id="234" w:name="_Toc513816911"/>
      <w:bookmarkStart w:id="235" w:name="_Toc536295082"/>
      <w:bookmarkStart w:id="236" w:name="_Toc4381"/>
      <w:r>
        <w:rPr>
          <w:color w:val="auto"/>
          <w:highlight w:val="none"/>
        </w:rPr>
        <w:t xml:space="preserve">4.1 </w:t>
      </w:r>
      <w:r>
        <w:rPr>
          <w:rFonts w:hint="eastAsia"/>
          <w:color w:val="auto"/>
          <w:highlight w:val="none"/>
        </w:rPr>
        <w:t>工程建设的必要性</w:t>
      </w:r>
      <w:bookmarkEnd w:id="233"/>
      <w:bookmarkEnd w:id="234"/>
      <w:bookmarkEnd w:id="235"/>
      <w:bookmarkEnd w:id="236"/>
    </w:p>
    <w:p>
      <w:pPr>
        <w:pStyle w:val="335"/>
        <w:spacing w:before="156" w:after="156"/>
        <w:rPr>
          <w:color w:val="auto"/>
          <w:highlight w:val="none"/>
        </w:rPr>
      </w:pPr>
      <w:bookmarkStart w:id="237" w:name="_Toc536295083"/>
      <w:r>
        <w:rPr>
          <w:color w:val="auto"/>
          <w:highlight w:val="none"/>
        </w:rPr>
        <w:t>4</w:t>
      </w:r>
      <w:r>
        <w:rPr>
          <w:rFonts w:hint="eastAsia"/>
          <w:color w:val="auto"/>
          <w:highlight w:val="none"/>
        </w:rPr>
        <w:t xml:space="preserve">.1.1 </w:t>
      </w:r>
      <w:r>
        <w:rPr>
          <w:rFonts w:hint="eastAsia"/>
          <w:color w:val="auto"/>
          <w:highlight w:val="none"/>
          <w:lang w:eastAsia="zh-CN"/>
        </w:rPr>
        <w:t>地区概况</w:t>
      </w:r>
      <w:bookmarkEnd w:id="237"/>
    </w:p>
    <w:p>
      <w:pPr>
        <w:ind w:firstLine="480"/>
        <w:rPr>
          <w:rFonts w:hint="eastAsia"/>
          <w:color w:val="auto"/>
          <w:highlight w:val="none"/>
          <w:lang w:eastAsia="zh-CN"/>
        </w:rPr>
      </w:pPr>
      <w:r>
        <w:rPr>
          <w:rFonts w:hint="eastAsia"/>
          <w:color w:val="auto"/>
          <w:highlight w:val="none"/>
          <w:lang w:eastAsia="zh-CN"/>
        </w:rPr>
        <w:t>从化区位于广州东北部，是广州面积最大的行政区，总面积1985平方公里，户籍人口65.54万人，常住人口71.98万人，森林覆盖率69.1%，获评“中国十佳绿色城市”，素有“广州后花园”和“北回归线上明珠”的美誉。近年来从化各方面取得长足发展，乡村振兴走在前列，被中央六部委确定为全国乡村治理体系建设试点，成功创建“1+7”现代农业产业园，正大力推进广州全市唯一一个全国新时代文明实践中心试点区建设；对外开放步伐加快，协助成功举办“2021从都国际论坛”，共邀请了200多位国际前政要和600多位中外知名专家学者、商界领袖参加；高标准承办第二届世界生态设计大会，全球30多个国家的设计组织、机构及企业参会。</w:t>
      </w:r>
    </w:p>
    <w:p>
      <w:pPr>
        <w:ind w:firstLine="480"/>
        <w:jc w:val="center"/>
        <w:rPr>
          <w:rFonts w:hint="eastAsia"/>
          <w:color w:val="auto"/>
          <w:highlight w:val="none"/>
          <w:lang w:eastAsia="zh-CN"/>
        </w:rPr>
      </w:pPr>
      <w:r>
        <w:rPr>
          <w:color w:val="auto"/>
          <w:highlight w:val="none"/>
        </w:rPr>
        <w:drawing>
          <wp:inline distT="0" distB="0" distL="0" distR="0">
            <wp:extent cx="3239770" cy="4241800"/>
            <wp:effectExtent l="0" t="0" r="17780" b="6350"/>
            <wp:docPr id="98" name="图片 98" descr="从化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从化区"/>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239770" cy="4241800"/>
                    </a:xfrm>
                    <a:prstGeom prst="rect">
                      <a:avLst/>
                    </a:prstGeom>
                    <a:noFill/>
                    <a:ln>
                      <a:noFill/>
                    </a:ln>
                  </pic:spPr>
                </pic:pic>
              </a:graphicData>
            </a:graphic>
          </wp:inline>
        </w:drawing>
      </w:r>
    </w:p>
    <w:p>
      <w:pPr>
        <w:ind w:firstLine="480"/>
        <w:jc w:val="center"/>
        <w:rPr>
          <w:rFonts w:hint="eastAsia"/>
          <w:color w:val="auto"/>
          <w:highlight w:val="none"/>
          <w:lang w:eastAsia="zh-CN"/>
        </w:rPr>
      </w:pPr>
      <w:r>
        <w:rPr>
          <w:rFonts w:hint="eastAsia"/>
          <w:color w:val="auto"/>
          <w:highlight w:val="none"/>
          <w:lang w:eastAsia="zh-CN"/>
        </w:rPr>
        <w:t>图4-1  从化区在广州市区位图</w:t>
      </w:r>
    </w:p>
    <w:p>
      <w:pPr>
        <w:ind w:firstLine="480"/>
        <w:rPr>
          <w:rFonts w:hint="eastAsia"/>
          <w:color w:val="auto"/>
          <w:highlight w:val="none"/>
          <w:lang w:eastAsia="zh-CN"/>
        </w:rPr>
      </w:pPr>
      <w:r>
        <w:rPr>
          <w:rFonts w:hint="eastAsia"/>
          <w:color w:val="auto"/>
          <w:highlight w:val="none"/>
          <w:lang w:eastAsia="zh-CN"/>
        </w:rPr>
        <w:t>气候宜人。地处低纬度地带，北回归线横跨境内，属亚热带温和气候，年平均气温为19.5℃-21.4℃。</w:t>
      </w:r>
    </w:p>
    <w:p>
      <w:pPr>
        <w:ind w:firstLine="480"/>
        <w:rPr>
          <w:rFonts w:hint="eastAsia"/>
          <w:color w:val="auto"/>
          <w:highlight w:val="none"/>
          <w:lang w:eastAsia="zh-CN"/>
        </w:rPr>
      </w:pPr>
      <w:r>
        <w:rPr>
          <w:rFonts w:hint="eastAsia"/>
          <w:color w:val="auto"/>
          <w:highlight w:val="none"/>
          <w:lang w:eastAsia="zh-CN"/>
        </w:rPr>
        <w:t>山清水秀。拥有2个国家级森林公园，森林覆盖率达69.1%，还有100多个湖泊水库，空气质量和水质常年保持优良。</w:t>
      </w:r>
    </w:p>
    <w:p>
      <w:pPr>
        <w:ind w:firstLine="480"/>
        <w:rPr>
          <w:rFonts w:hint="eastAsia"/>
          <w:color w:val="auto"/>
          <w:highlight w:val="none"/>
          <w:lang w:eastAsia="zh-CN"/>
        </w:rPr>
      </w:pPr>
      <w:r>
        <w:rPr>
          <w:rFonts w:hint="eastAsia"/>
          <w:color w:val="auto"/>
          <w:highlight w:val="none"/>
          <w:lang w:eastAsia="zh-CN"/>
        </w:rPr>
        <w:t>产业优化。已形成生物医药、智能装备、智慧物流、都市消费、科技服务、大数据六大主导产业。</w:t>
      </w:r>
    </w:p>
    <w:p>
      <w:pPr>
        <w:ind w:firstLine="480"/>
        <w:rPr>
          <w:rFonts w:hint="eastAsia"/>
          <w:color w:val="auto"/>
          <w:highlight w:val="none"/>
          <w:lang w:eastAsia="zh-CN"/>
        </w:rPr>
      </w:pPr>
      <w:r>
        <w:rPr>
          <w:rFonts w:hint="eastAsia"/>
          <w:color w:val="auto"/>
          <w:highlight w:val="none"/>
          <w:lang w:eastAsia="zh-CN"/>
        </w:rPr>
        <w:t>物华天宝。拥有媲美瑞士温泉的苏打型温泉，号称东方达沃斯；从化荔枝驰名海内外。</w:t>
      </w:r>
    </w:p>
    <w:p>
      <w:pPr>
        <w:ind w:firstLine="480"/>
        <w:rPr>
          <w:rFonts w:hint="eastAsia"/>
          <w:color w:val="auto"/>
          <w:highlight w:val="none"/>
          <w:lang w:eastAsia="zh-CN"/>
        </w:rPr>
      </w:pPr>
      <w:r>
        <w:rPr>
          <w:rFonts w:hint="eastAsia"/>
          <w:color w:val="auto"/>
          <w:highlight w:val="none"/>
          <w:lang w:eastAsia="zh-CN"/>
        </w:rPr>
        <w:t>交通便捷。地铁14号线以及北部快速公路（从埔高速）等交通干线的建成，让从化融入广州半小时经济生活圈。</w:t>
      </w:r>
    </w:p>
    <w:p>
      <w:pPr>
        <w:ind w:firstLine="480"/>
        <w:rPr>
          <w:rFonts w:hint="eastAsia"/>
          <w:color w:val="auto"/>
          <w:highlight w:val="none"/>
          <w:lang w:eastAsia="zh-CN"/>
        </w:rPr>
      </w:pPr>
      <w:r>
        <w:rPr>
          <w:rFonts w:hint="eastAsia"/>
          <w:color w:val="auto"/>
          <w:highlight w:val="none"/>
          <w:lang w:eastAsia="zh-CN"/>
        </w:rPr>
        <w:t>从化区位于广州市中心城区北面，是广州北部的交通枢纽，境内有“四横四纵”铁路及高速公路主干线穿越从化，至广州中心城区及各大交通枢纽（机场、港口）约40分钟车程，已经融入珠三角1小时经济生活圈、粤港澳大湾区2小时经济生活圈。</w:t>
      </w:r>
    </w:p>
    <w:p>
      <w:pPr>
        <w:ind w:firstLine="480"/>
        <w:rPr>
          <w:rFonts w:hint="eastAsia"/>
          <w:color w:val="auto"/>
          <w:highlight w:val="none"/>
          <w:lang w:eastAsia="zh-CN"/>
        </w:rPr>
      </w:pPr>
      <w:r>
        <w:rPr>
          <w:rFonts w:hint="eastAsia"/>
          <w:color w:val="auto"/>
          <w:highlight w:val="none"/>
          <w:lang w:eastAsia="zh-CN"/>
        </w:rPr>
        <w:t>“四横”：汕湛、佛清从、北三环高速及清从莞城际铁路；</w:t>
      </w:r>
    </w:p>
    <w:p>
      <w:pPr>
        <w:ind w:firstLine="480"/>
        <w:rPr>
          <w:rFonts w:hint="eastAsia"/>
          <w:color w:val="auto"/>
          <w:highlight w:val="none"/>
          <w:lang w:eastAsia="zh-CN"/>
        </w:rPr>
      </w:pPr>
      <w:r>
        <w:rPr>
          <w:rFonts w:hint="eastAsia"/>
          <w:color w:val="auto"/>
          <w:highlight w:val="none"/>
          <w:lang w:eastAsia="zh-CN"/>
        </w:rPr>
        <w:t>“四纵”：京珠高速、大广高速（105国道）、北部快速、地铁十四号线。</w:t>
      </w:r>
    </w:p>
    <w:p>
      <w:pPr>
        <w:ind w:firstLine="480"/>
        <w:rPr>
          <w:rFonts w:hint="eastAsia"/>
          <w:color w:val="auto"/>
          <w:highlight w:val="none"/>
          <w:lang w:eastAsia="zh-CN"/>
        </w:rPr>
      </w:pPr>
      <w:r>
        <w:rPr>
          <w:rFonts w:hint="eastAsia"/>
          <w:color w:val="auto"/>
          <w:highlight w:val="none"/>
          <w:lang w:eastAsia="zh-CN"/>
        </w:rPr>
        <w:t>2021年， 从化区完成地区生产总值413.39 亿元，同比增长 3.5%。农林牧渔业总产值 58.49 亿元，同比增长 10.4%。合同利用外资 4.95 亿元， 同比增长 236.5%。进出口总值 138.2 亿元， 同比增长17.3%。 全年接待游客 1451.07 万人次，实现旅游收入 51.73 亿元，同比分别增长 2.1%和 1.5%。</w:t>
      </w:r>
    </w:p>
    <w:p>
      <w:pPr>
        <w:ind w:left="0" w:leftChars="0" w:firstLine="0" w:firstLineChars="0"/>
        <w:jc w:val="center"/>
        <w:rPr>
          <w:rFonts w:hint="eastAsia"/>
          <w:color w:val="auto"/>
          <w:highlight w:val="none"/>
          <w:lang w:eastAsia="zh-CN"/>
        </w:rPr>
      </w:pPr>
      <w:r>
        <w:rPr>
          <w:color w:val="auto"/>
          <w:highlight w:val="none"/>
        </w:rPr>
        <w:drawing>
          <wp:inline distT="0" distB="0" distL="0" distR="0">
            <wp:extent cx="4319905" cy="3369945"/>
            <wp:effectExtent l="0" t="0" r="4445" b="1905"/>
            <wp:docPr id="105" name="图片 105" descr="F:\工作\2017\潖江二河水环境整治\第一次项建成果\从化区划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F:\工作\2017\潖江二河水环境整治\第一次项建成果\从化区划图.jpg"/>
                    <pic:cNvPicPr>
                      <a:picLocks noChangeAspect="1" noChangeArrowheads="1"/>
                    </pic:cNvPicPr>
                  </pic:nvPicPr>
                  <pic:blipFill>
                    <a:blip r:embed="rId41">
                      <a:extLst>
                        <a:ext uri="{28A0092B-C50C-407E-A947-70E740481C1C}">
                          <a14:useLocalDpi xmlns:a14="http://schemas.microsoft.com/office/drawing/2010/main" val="0"/>
                        </a:ext>
                      </a:extLst>
                    </a:blip>
                    <a:srcRect t="-548" b="290"/>
                    <a:stretch>
                      <a:fillRect/>
                    </a:stretch>
                  </pic:blipFill>
                  <pic:spPr>
                    <a:xfrm>
                      <a:off x="0" y="0"/>
                      <a:ext cx="4319905" cy="3369945"/>
                    </a:xfrm>
                    <a:prstGeom prst="rect">
                      <a:avLst/>
                    </a:prstGeom>
                    <a:noFill/>
                    <a:ln>
                      <a:noFill/>
                    </a:ln>
                  </pic:spPr>
                </pic:pic>
              </a:graphicData>
            </a:graphic>
          </wp:inline>
        </w:drawing>
      </w:r>
    </w:p>
    <w:p>
      <w:pPr>
        <w:ind w:firstLine="480"/>
        <w:jc w:val="center"/>
        <w:rPr>
          <w:rFonts w:hint="eastAsia"/>
          <w:color w:val="auto"/>
          <w:highlight w:val="none"/>
          <w:lang w:eastAsia="zh-CN"/>
        </w:rPr>
      </w:pPr>
      <w:r>
        <w:rPr>
          <w:rFonts w:hint="eastAsia"/>
          <w:color w:val="auto"/>
          <w:highlight w:val="none"/>
          <w:lang w:eastAsia="zh-CN"/>
        </w:rPr>
        <w:t>图4-2  从化区行政区划图</w:t>
      </w:r>
    </w:p>
    <w:p>
      <w:pPr>
        <w:ind w:firstLine="480"/>
        <w:rPr>
          <w:rFonts w:hint="eastAsia"/>
          <w:color w:val="auto"/>
          <w:highlight w:val="none"/>
          <w:lang w:eastAsia="zh-CN"/>
        </w:rPr>
      </w:pPr>
      <w:r>
        <w:rPr>
          <w:rFonts w:hint="eastAsia"/>
          <w:color w:val="auto"/>
          <w:highlight w:val="none"/>
          <w:lang w:eastAsia="zh-CN"/>
        </w:rPr>
        <w:t>深化“一核两翼三带”总体空间布局。一是.以核心引领强化“一核”引擎驱动：明确中心城区功能定位及方向，重点发展商贸商业、公共服务、文化娱乐、交通枢纽等功能，进一步强化要素集聚和辐射带动作用，持续推动老城区更新改造、功能完善、服务提质，加快街口街老城区城市更新及新空间规划建设，推动城郊街交通网络及新开旺城商圈、东风商圈、西和万花风情小镇“三个关键节点”建设，抓好江埔街海塱商业步行街、特色小镇、旧村改造、城市更新等工作，加快实现老城市新活力。持续推动外围城区前瞻规划、有序建设、科学管理，加快提高城区规划建设管理水平。二是以创新引领实现“两翼”联动发展：以温泉、良口、吕田北部三镇为“生态价值创新翼”，推动北部片区打造世界一流、国际水准的绿色发展先行区；以太平、鳌头两镇为“科技创新发展翼”，聚焦打造世界一流的绿色发展先行区，探索生态经济与数字经济融合的新路径，发掘数字化创新在生态经济中的应用价值，以产业为纽带强化以工补农、以城带乡，努力在城乡融合发展试验区广清接合片区建设上走在前列。三是以绿色引领推动“三带”产业升级：强化“太平—鳌头—街口”创新创业产业带、“温泉—良口—吕田”美丽健康发展带和流溪河全流域生态价值创新带之间的协同发展效应，高质量打造穗北红色文化产业带、地铁14号线沿线高端商业经济带和G355国道沿线科技创新发展轴。健全区域战略统筹、市场化一体化发展、区域合作互助等机制，着力完善广东从化经济开发区、新老温泉一体化区域、流溪三里（福里、津里、和里）、鳌头五个重点片区、各个镇墟和特色小镇等重点功能片区及关键节点功能，更好促进中心城区和偏远山区、南部区域和北部区域、特色小镇和周边村镇协同发展。</w:t>
      </w:r>
    </w:p>
    <w:p>
      <w:pPr>
        <w:ind w:firstLine="480"/>
        <w:rPr>
          <w:rFonts w:hint="eastAsia"/>
          <w:color w:val="auto"/>
          <w:highlight w:val="none"/>
          <w:lang w:eastAsia="zh-CN"/>
        </w:rPr>
      </w:pPr>
      <w:r>
        <w:rPr>
          <w:rFonts w:hint="eastAsia"/>
          <w:color w:val="auto"/>
          <w:highlight w:val="none"/>
          <w:lang w:eastAsia="zh-CN"/>
        </w:rPr>
        <w:t>构建绿色产业发展平台。一是稳步推进现代化绿色工业园区建设：以广东从化经济开发区为主阵地，积极探索生态优先、绿色发展新路子，加快建设现代化绿色工业园区。加快构建土地征储有度、收益分成合理的工业用地滚动储备机制，着重加大土地收储力度，推进石海工业园腾笼换鸟、新旧动能转换，为优质高端产业发展预留空间。加快各类功能片区建设，着力推动粤港澳大湾区IDC数据中心项目落地实施，引领建设5G大数据产业园，加快抢占5G发展新高地；以生物医药综合创制平台为载体，努力打造粤港澳大湾区生物医药高端创新平台和产业集聚平台；推进现代物流业集聚集群集约发展，打造以物联网技术为支撑，以苏宁、韵达、中色物联等为龙头的现代智慧物流基地。二是大力推动黄埔从化产业共建合作区建设：紧抓黄埔从化产业共建合作区建设机遇，争取省市给予合作区简政放权支持，叠加放大国家级开发区和国家城乡融合发展试验区政策红利，全力打造新时代区域协调发展新高地。聚焦实现交通路网快速互联互通，以太平大道、高湖路、北三环出入口等工程建设为抓手，加快畅通双区合作经济走廊。主动接受中新广州知识城辐射带动和产业延伸，太平片区重点承接中新知识城集成电路、生物医药等产业功能；明珠工业园片区重点发展大健康美妆产业，聚焦打造生物医药、医疗美容融合发展的“南方美谷”；民乐片区利用地理优势，重点发展智能供应链产业，为广州实现高质量发展提供重要支撑。三是加快构建从化温泉生态经济总部集聚区：依托老温泉片区，重点打造双创街区型生态总部，着重发挥湾区设计开放大学和粤创街“双创”平台作用，精心培育一批“独角兽”高成长型总部企业。依托鸭洞河片区，重点打造价值创新型生态总部，充分发挥生态设计小镇的生态价值创新引领作用，加快引进、培育一批生态价值创新型总部企业。依托凤凰山片区，重点打造文化创新型生态总部，着重发挥国家级重点文化基础设施的牵引带动作用，加快集聚一批文化创新型总部企业。依托小海河片区，重点打造决策控制型生态总部，着重发挥国际交往中心项目作用，加快吸附一批家族企业战略决策型总部和智库机构。</w:t>
      </w:r>
    </w:p>
    <w:p>
      <w:pPr>
        <w:ind w:firstLine="480"/>
        <w:rPr>
          <w:rFonts w:hint="eastAsia"/>
          <w:color w:val="auto"/>
          <w:highlight w:val="none"/>
          <w:lang w:eastAsia="zh-CN"/>
        </w:rPr>
      </w:pPr>
      <w:r>
        <w:rPr>
          <w:rFonts w:hint="eastAsia"/>
          <w:color w:val="auto"/>
          <w:highlight w:val="none"/>
          <w:lang w:eastAsia="zh-CN"/>
        </w:rPr>
        <w:t>构建绿色产业体系。一是推动传统产业高质量发展。支持立白集团、逸仙电商等企业不断做强做大，形成大健康美妆产业集聚发展。狠抓智能家居、家电产业，大力培育广州好莱客、星河湾等现代家居智能制造企业，支持江森自控日立压缩机、万宝冰箱和万宝压缩机等家电企业不断发展，形成聚集式发展、链条式发展的良好态势。促进广汽日野、广汽比亚迪、丰力轮胎等汽车及零部件企业转型升级。二是壮大战略性新兴产业。以中国电信粤港澳大湾区5G云计算中心为新型基础设施龙头项目，加速带动一批商业IDC中心落户，带动集成电路、软件开发、电竞、游戏类产业的发展，满足无人驾驶、远程医疗、人工智能等对数据处理传输时延和体量有严苛要求的新业态发展需求。全面构建以智能供应链为基础的新一代基础设施，大力发展苏宁华南电商总部、京东电商、中国供销总社等智能供应链企业，为广州打造农产品供应链配送核心、建设新型消费城市提供助力。依托广东莱恩医药、湖北天勤生物的技术平台优势，大力发展生物医药产业。三是促进服务业能级提升。加快发展现代物流业，加大物流和供应链服务平台政策支持，建设明珠智慧物流园，提高仓储用地利用效率，大力降低企业经营成本。优化提升生活服务业，引导智慧医疗、智慧教育、智慧家政等新业态发展，支持社会力量提供多层次多样化优质服务。扎实推进生态设计产业发展，做长生态设计产业链条。全力支持从都国际论坛、生态设计大会等国际性会议会展活动扩大影响力，建设穗北国际交往中心。加快推动一批马产业项目落地，对标世界标准高质量策划系列马术赛事和马术运动，构建具有国际影响力的穗港马产业经济圈。扎实推进特色小镇建设，提升乡村旅游、休闲观光、民宿等新业态发展水平。四是推动现代农业加快发展。适应粤港澳大湾区畅通双循环需要，深化实施现代农业市场化、产业化、规模化、品牌化组团发展战略，因地制宜培育壮大优势特色产业、优势特色品牌。大力实施粤港澳大湾区“米袋子”“菜篮子”“果盘子”等工程，加快建设从化香米、荔枝等现代农业研究院，推动粮食、蔬果、生猪规模化、品牌化发展。</w:t>
      </w:r>
    </w:p>
    <w:p>
      <w:pPr>
        <w:ind w:firstLine="480"/>
        <w:rPr>
          <w:rFonts w:hint="eastAsia"/>
          <w:color w:val="auto"/>
          <w:highlight w:val="none"/>
          <w:lang w:eastAsia="zh-CN"/>
        </w:rPr>
      </w:pPr>
      <w:r>
        <w:rPr>
          <w:rFonts w:hint="eastAsia"/>
          <w:color w:val="auto"/>
          <w:highlight w:val="none"/>
          <w:lang w:eastAsia="zh-CN"/>
        </w:rPr>
        <w:t>温泉镇位于从化区东北郊，人口约7．6万，其中常住人口4．8万人，流动人口2．8万人，下辖3个居委会和22个村委会。镇内有1所高校（中山大学南方学院）、1所成人学校，2所中学，6所小学，3所幼儿园，2家医院。全镇土地面积210．9平方公里（316350亩），其中：林地191994亩（占总面积60％）；园地47465亩（占总面积15％）；水面面积2439亩（占总面积0．7％）；基本农田36317亩（占总面积11．4％）；河流、滩涂等利用土地6755亩（占总面积2．1％）；建设用地31380亩（占总面积10％）。区内交通发达，105国道、省道355线、从增高速、大广高速贯穿全镇而过，从增高速公路在镇内设有多处出入口，距京珠高速公路从化出口仅10多公里，离广州白云国际机场也只有30多公里。镇内各村已全部实现通水泥公路，供电、供水、通讯、金融、教育、医疗卫生、饮食等各项基础设施日臻完善。</w:t>
      </w:r>
    </w:p>
    <w:p>
      <w:pPr>
        <w:ind w:firstLine="480"/>
        <w:rPr>
          <w:rFonts w:hint="eastAsia"/>
          <w:color w:val="auto"/>
          <w:highlight w:val="none"/>
          <w:lang w:eastAsia="zh-CN"/>
        </w:rPr>
      </w:pPr>
      <w:r>
        <w:rPr>
          <w:rFonts w:hint="eastAsia"/>
          <w:color w:val="auto"/>
          <w:highlight w:val="none"/>
          <w:lang w:eastAsia="zh-CN"/>
        </w:rPr>
        <w:t>从化温泉是驰名中外的风景区和疗养胜地，是省级旅游度假区、省级自然保护区、省级生态示范镇和广州市卫生城镇，曾获“中国绿色名镇”、“广东旅游特色镇”、广州市文明镇、广州市广州亚运会亚残运会先进集体等称号。全镇旅游、餐饮、服务业等主要集中在温泉风景区、龙岗墟和石坑墟内，限上餐饮、服务业单位有13个（望谷、温泉宾馆、专家村、正大、翠岛、锦泉、公路疗养院、幸福楼、碧泉、映月湾、华辉、万丰、竹溪），80间宾馆酒店中有7间是三星级酒店，接待酒店共有客房6000多间，10000个床位，18000个餐位。工业企业主要分布在石海工业集聚园区和105国道工业走廊，以摩托车制造、塑料制造、木业加工、无纺布、金属制品、药业为主，目前共有工业企业（含个体）128家，规模以上企业23家。共有外资企业7家，港澳台13家。</w:t>
      </w:r>
    </w:p>
    <w:p>
      <w:pPr>
        <w:pStyle w:val="335"/>
        <w:spacing w:before="156" w:after="156"/>
        <w:rPr>
          <w:color w:val="auto"/>
          <w:highlight w:val="none"/>
        </w:rPr>
      </w:pPr>
      <w:r>
        <w:rPr>
          <w:rFonts w:hint="eastAsia"/>
          <w:color w:val="auto"/>
          <w:highlight w:val="none"/>
        </w:rPr>
        <w:t>4.1.</w:t>
      </w:r>
      <w:r>
        <w:rPr>
          <w:rFonts w:hint="eastAsia"/>
          <w:color w:val="auto"/>
          <w:highlight w:val="none"/>
          <w:lang w:val="en-US" w:eastAsia="zh-CN"/>
        </w:rPr>
        <w:t>2</w:t>
      </w:r>
      <w:r>
        <w:rPr>
          <w:rFonts w:hint="eastAsia"/>
          <w:color w:val="auto"/>
          <w:highlight w:val="none"/>
        </w:rPr>
        <w:t xml:space="preserve"> 项目区</w:t>
      </w:r>
      <w:r>
        <w:rPr>
          <w:rFonts w:hint="eastAsia"/>
          <w:color w:val="auto"/>
          <w:highlight w:val="none"/>
          <w:lang w:eastAsia="zh-CN"/>
        </w:rPr>
        <w:t>流域概况</w:t>
      </w:r>
    </w:p>
    <w:p>
      <w:pPr>
        <w:ind w:firstLine="480"/>
        <w:rPr>
          <w:rFonts w:hint="eastAsia"/>
          <w:color w:val="auto"/>
          <w:highlight w:val="none"/>
          <w:lang w:eastAsia="zh-CN"/>
        </w:rPr>
      </w:pPr>
      <w:r>
        <w:rPr>
          <w:rFonts w:hint="eastAsia"/>
          <w:color w:val="auto"/>
          <w:highlight w:val="none"/>
          <w:lang w:eastAsia="zh-CN"/>
        </w:rPr>
        <w:t>从化区位于广东省中部，广州市区东北面，属半山区。东北部以山地、丘陵为主，中南部以丘陵、谷地为主，西部以丘陵、台地为主。从化总面积1974.5km²，河流众多，共计172条河流，均属于山区性河流，分别属于流溪河流域、潖江（二）河流域及连麻河流域。流溪河是从化的最大一条河流，总长156km，从北到南流贯全市，是广州市的“母亲河”，有支流146条（包括流溪河），其中流域面积在100km²以上的共有6条，分别为小海河、龙潭河、吕田河、安山河、玉溪河、汾田水。</w:t>
      </w:r>
    </w:p>
    <w:p>
      <w:pPr>
        <w:ind w:firstLine="480"/>
        <w:rPr>
          <w:rFonts w:hint="eastAsia"/>
          <w:color w:val="auto"/>
          <w:highlight w:val="none"/>
          <w:lang w:eastAsia="zh-CN"/>
        </w:rPr>
      </w:pPr>
      <w:r>
        <w:rPr>
          <w:rFonts w:hint="eastAsia"/>
          <w:color w:val="auto"/>
          <w:highlight w:val="none"/>
          <w:lang w:eastAsia="zh-CN"/>
        </w:rPr>
        <w:t>小海河位于东经113°34＇35＂~113°49＇42＂，北纬23°27＇18＂~23°40＇10＂，属珠江三角洲水系，旧称曲江水，是流溪河最大的一级支流。小海河发源于从化区与龙门县交界的横坑大顶西麓（即中心山），呈北高南低，流经掾荷经大岭山水库、白芒潭水库入南大水库，出桃莲，经中田至石海村东南，与朝盖水汇合；出黑山，经江埔至潭村西南与凤凰水汇合；至白田岗北，又与锦洞水汇合。最后在南方村西北汇入流溪河。小海河全长37.5km，流域面积263km²，河床坡降为5.36‰。</w:t>
      </w:r>
    </w:p>
    <w:p>
      <w:pPr>
        <w:ind w:firstLine="480"/>
        <w:rPr>
          <w:rFonts w:hint="eastAsia"/>
          <w:color w:val="auto"/>
          <w:highlight w:val="none"/>
          <w:lang w:eastAsia="zh-CN"/>
        </w:rPr>
      </w:pPr>
      <w:r>
        <w:rPr>
          <w:rFonts w:hint="eastAsia"/>
          <w:color w:val="auto"/>
          <w:highlight w:val="none"/>
          <w:lang w:eastAsia="zh-CN"/>
        </w:rPr>
        <w:t>小海河支流众多，其中较大支流有三条：朝盖水、凤凰水及锦洞水。朝盖水源于灌村大尖山的概洞，流经石海与小海河干流汇合，全长16.0km，流域面积为53.42km²；凤凰水源于江埔凤凰山，流经江埔的钓里、新围、和睦村，在潭村与小海河干流汇合，全长12.53km，流域面积为53.76km²；锦洞水源于大金山，经石门、水产田、锦洞、锦三小学、大田墩至白田岗与小海河干流汇合，全长11.31km，流域面积为24.32km</w:t>
      </w:r>
      <w:r>
        <w:rPr>
          <w:rFonts w:hint="eastAsia"/>
          <w:color w:val="auto"/>
          <w:highlight w:val="none"/>
          <w:lang w:val="en-US" w:eastAsia="zh-CN"/>
        </w:rPr>
        <w:t>²</w:t>
      </w:r>
      <w:r>
        <w:rPr>
          <w:rFonts w:hint="eastAsia"/>
          <w:color w:val="auto"/>
          <w:highlight w:val="none"/>
          <w:lang w:eastAsia="zh-CN"/>
        </w:rPr>
        <w:t>。</w:t>
      </w:r>
    </w:p>
    <w:p>
      <w:pPr>
        <w:ind w:firstLine="480"/>
        <w:rPr>
          <w:rFonts w:hint="eastAsia"/>
          <w:color w:val="auto"/>
          <w:highlight w:val="none"/>
          <w:lang w:eastAsia="zh-CN"/>
        </w:rPr>
      </w:pPr>
      <w:r>
        <w:rPr>
          <w:rFonts w:hint="eastAsia"/>
          <w:color w:val="auto"/>
          <w:highlight w:val="none"/>
          <w:lang w:eastAsia="zh-CN"/>
        </w:rPr>
        <w:t>小海河流域内没有大、中型蓄水工程，有小（一）型水库5宗，这些水库大多兴建于上个世纪50～70年代，均以灌溉为主，滞蓄洪水和拦沙的作用较弱。五座小（一）水库分别为凤凰水库、南大水库、大岭山水库、白茫潭水库、石灶水库。目前水质较好。</w:t>
      </w:r>
    </w:p>
    <w:p>
      <w:pPr>
        <w:ind w:firstLine="480"/>
        <w:rPr>
          <w:rFonts w:hint="eastAsia"/>
          <w:color w:val="auto"/>
          <w:highlight w:val="none"/>
          <w:lang w:eastAsia="zh-CN"/>
        </w:rPr>
      </w:pPr>
      <w:r>
        <w:rPr>
          <w:rFonts w:hint="eastAsia"/>
          <w:color w:val="auto"/>
          <w:highlight w:val="none"/>
          <w:lang w:val="en-US" w:eastAsia="zh-CN"/>
        </w:rPr>
        <w:t>南大水库位于流溪河一级支流小海河的上游，从化区温泉镇南麓山下，距离从化区街口街约20km，距离广州市约73km。南大水库坝址以上集雨面积为33.2km²，是一座以防洪、灌溉为主，兼顾发电等综合利用的小（1）型水利工程，设计洪水标准为50年一遇，校核洪水标准为500年一遇，主要建筑物水库大坝、输水涵管等级为4级，次要建筑物为5级。</w:t>
      </w:r>
    </w:p>
    <w:p>
      <w:pPr>
        <w:pStyle w:val="335"/>
        <w:spacing w:before="156" w:after="156"/>
        <w:rPr>
          <w:rFonts w:hint="eastAsia"/>
          <w:color w:val="auto"/>
          <w:highlight w:val="none"/>
        </w:rPr>
      </w:pPr>
      <w:r>
        <w:rPr>
          <w:rFonts w:hint="eastAsia"/>
          <w:color w:val="auto"/>
          <w:highlight w:val="none"/>
        </w:rPr>
        <w:t>4.</w:t>
      </w:r>
      <w:r>
        <w:rPr>
          <w:rFonts w:hint="eastAsia"/>
          <w:color w:val="auto"/>
          <w:highlight w:val="none"/>
          <w:lang w:val="en-US" w:eastAsia="zh-CN"/>
        </w:rPr>
        <w:t>1.3</w:t>
      </w:r>
      <w:r>
        <w:rPr>
          <w:rFonts w:hint="eastAsia"/>
          <w:color w:val="auto"/>
          <w:highlight w:val="none"/>
        </w:rPr>
        <w:t xml:space="preserve"> </w:t>
      </w:r>
      <w:r>
        <w:rPr>
          <w:rFonts w:hint="eastAsia"/>
          <w:color w:val="auto"/>
          <w:highlight w:val="none"/>
          <w:lang w:eastAsia="zh-CN"/>
        </w:rPr>
        <w:t>项目概况</w:t>
      </w:r>
    </w:p>
    <w:p>
      <w:pPr>
        <w:ind w:firstLine="480"/>
        <w:rPr>
          <w:rFonts w:hint="eastAsia"/>
          <w:color w:val="auto"/>
          <w:highlight w:val="none"/>
        </w:rPr>
      </w:pPr>
      <w:r>
        <w:rPr>
          <w:rFonts w:hint="default"/>
          <w:color w:val="auto"/>
          <w:highlight w:val="none"/>
          <w:lang w:val="en-US" w:eastAsia="zh-CN"/>
        </w:rPr>
        <w:t>根据《广州</w:t>
      </w:r>
      <w:r>
        <w:rPr>
          <w:rFonts w:hint="eastAsia"/>
          <w:color w:val="auto"/>
          <w:highlight w:val="none"/>
          <w:lang w:val="en-US" w:eastAsia="zh-CN"/>
        </w:rPr>
        <w:t>省</w:t>
      </w:r>
      <w:r>
        <w:rPr>
          <w:rFonts w:hint="default"/>
          <w:color w:val="auto"/>
          <w:highlight w:val="none"/>
          <w:lang w:val="en-US" w:eastAsia="zh-CN"/>
        </w:rPr>
        <w:t>山区小型灌区改造工程规划（2011-2020年）》</w:t>
      </w:r>
      <w:r>
        <w:rPr>
          <w:rFonts w:hint="eastAsia"/>
          <w:color w:val="auto"/>
          <w:highlight w:val="none"/>
          <w:lang w:val="en-US" w:eastAsia="zh-CN"/>
        </w:rPr>
        <w:t>（粤水农水[2012]2号），从化区温泉镇南大水库灌区干渠起点位于南大水库下游约2km小海河干流右岸，灌溉用水取自于小海河流域河水，渠首处设置引水闸，干渠流经温泉镇桃莲村、桃莲村、平岗村和龙桥村等，终点位于龙桥村，灌区干渠总长约38km，设计灌溉面积为8900亩，设计取水流量为1.50m³/s，取水水量1600万m³，主要灌溉农作物有水稻、蔬菜、花生、大豆类等。</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南大水库灌区建于上世纪70年代，至今已约50年，现状大部分渠道仍是土渠，为梯形断面，渠道底宽约2~4m，顶宽约为4~6m，渠高约为1.5~2m。由于大部分渠道仍是土渠，防渗能力差，而且渠道大多布置在半山腰，经常会出现因渗透破坏而导致的渠堤塌方，同时在暴雨天，由于山体洪水来得急，部分山体出现塌方堵塞渠道，而且渠道沿线泄洪闸排泄能力不足，也导致渠堤经常出现塌方情况，已严重影响渠道防洪及灌溉效益发挥。</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val="en-US" w:eastAsia="zh-CN"/>
        </w:rPr>
        <w:t>南大水库灌渠渠首至下游约5.5km渠段，已于2021年前完成三面光改造建设，现已正常投入运行，本工程改造起点位于</w:t>
      </w:r>
      <w:r>
        <w:rPr>
          <w:rFonts w:hint="eastAsia"/>
          <w:color w:val="auto"/>
          <w:highlight w:val="none"/>
          <w:lang w:eastAsia="zh-CN"/>
        </w:rPr>
        <w:t>干渠渠首约往下游约</w:t>
      </w:r>
      <w:r>
        <w:rPr>
          <w:rFonts w:hint="eastAsia"/>
          <w:color w:val="auto"/>
          <w:highlight w:val="none"/>
          <w:lang w:val="en-US" w:eastAsia="zh-CN"/>
        </w:rPr>
        <w:t>5.5</w:t>
      </w:r>
      <w:r>
        <w:rPr>
          <w:rFonts w:hint="eastAsia"/>
          <w:color w:val="auto"/>
          <w:highlight w:val="none"/>
          <w:lang w:eastAsia="zh-CN"/>
        </w:rPr>
        <w:t>km处，</w:t>
      </w:r>
      <w:r>
        <w:rPr>
          <w:rFonts w:hint="eastAsia"/>
          <w:color w:val="auto"/>
          <w:highlight w:val="none"/>
          <w:lang w:val="en-US" w:eastAsia="zh-CN"/>
        </w:rPr>
        <w:t>与已三面光改造的渠道连接</w:t>
      </w:r>
      <w:r>
        <w:rPr>
          <w:rFonts w:hint="eastAsia"/>
          <w:color w:val="auto"/>
          <w:highlight w:val="none"/>
          <w:lang w:eastAsia="zh-CN"/>
        </w:rPr>
        <w:t>。</w:t>
      </w:r>
    </w:p>
    <w:p>
      <w:pPr>
        <w:pStyle w:val="335"/>
        <w:spacing w:before="156" w:after="156"/>
        <w:rPr>
          <w:rFonts w:hint="eastAsia"/>
          <w:color w:val="auto"/>
          <w:highlight w:val="none"/>
        </w:rPr>
      </w:pPr>
      <w:r>
        <w:rPr>
          <w:rFonts w:hint="eastAsia"/>
          <w:color w:val="auto"/>
          <w:highlight w:val="none"/>
        </w:rPr>
        <w:t>4.</w:t>
      </w:r>
      <w:r>
        <w:rPr>
          <w:rFonts w:hint="eastAsia"/>
          <w:color w:val="auto"/>
          <w:highlight w:val="none"/>
          <w:lang w:val="en-US" w:eastAsia="zh-CN"/>
        </w:rPr>
        <w:t xml:space="preserve">1.4 </w:t>
      </w:r>
      <w:r>
        <w:rPr>
          <w:rFonts w:hint="eastAsia"/>
          <w:color w:val="auto"/>
          <w:highlight w:val="none"/>
        </w:rPr>
        <w:t>渠道现状</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color w:val="auto"/>
          <w:highlight w:val="none"/>
          <w:lang w:val="en-US" w:eastAsia="zh-CN"/>
        </w:rPr>
      </w:pPr>
      <w:r>
        <w:rPr>
          <w:rFonts w:hint="eastAsia"/>
          <w:color w:val="auto"/>
          <w:highlight w:val="none"/>
          <w:lang w:val="en-US" w:eastAsia="zh-CN"/>
        </w:rPr>
        <w:t>1、0+000~0+620及0+700~1+207渠段，现状大部分渠道为土渠，局部位置下边坡侧有浆砌石挡土墙衬砌，现状的挡墙高低不一，大多挡墙已损坏严重，局部挡墙有沉陷变形，挡墙面大部分批荡脱落，剩下块石衬砌裸露，砂浆不饱满，老化较严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2、本工程0+620~0+700渠段，现状渠道为浆砌石三面光渠道，部分浆砌石侧墙受损严重，局部有沉陷变形，渠底纵坡存在反坡情况，部分批荡脱落，剩下块石衬砌裸露，砂浆不饱满，老化较严重。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color w:val="auto"/>
          <w:highlight w:val="none"/>
          <w:lang w:val="en-US" w:eastAsia="zh-CN"/>
        </w:rPr>
      </w:pPr>
      <w:r>
        <w:rPr>
          <w:rFonts w:hint="eastAsia"/>
          <w:color w:val="auto"/>
          <w:highlight w:val="none"/>
          <w:lang w:val="en-US" w:eastAsia="zh-CN"/>
        </w:rPr>
        <w:drawing>
          <wp:inline distT="0" distB="0" distL="114300" distR="114300">
            <wp:extent cx="5520690" cy="4140200"/>
            <wp:effectExtent l="0" t="0" r="3810" b="12700"/>
            <wp:docPr id="6" name="图片 6" descr="IMG_20220709_094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0220709_094709"/>
                    <pic:cNvPicPr>
                      <a:picLocks noChangeAspect="1"/>
                    </pic:cNvPicPr>
                  </pic:nvPicPr>
                  <pic:blipFill>
                    <a:blip r:embed="rId42"/>
                    <a:stretch>
                      <a:fillRect/>
                    </a:stretch>
                  </pic:blipFill>
                  <pic:spPr>
                    <a:xfrm>
                      <a:off x="0" y="0"/>
                      <a:ext cx="5520690" cy="414020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color w:val="auto"/>
          <w:highlight w:val="none"/>
          <w:lang w:val="en-US" w:eastAsia="zh-CN"/>
        </w:rPr>
      </w:pPr>
      <w:r>
        <w:rPr>
          <w:rFonts w:hint="eastAsia"/>
          <w:color w:val="auto"/>
          <w:highlight w:val="none"/>
          <w:lang w:val="en-US" w:eastAsia="zh-CN"/>
        </w:rPr>
        <w:t>0+005泄洪闸现状照片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default"/>
          <w:color w:val="auto"/>
          <w:highlight w:val="none"/>
          <w:lang w:val="en-US" w:eastAsia="zh-CN"/>
        </w:rPr>
        <w:drawing>
          <wp:inline distT="0" distB="0" distL="114300" distR="114300">
            <wp:extent cx="5396865" cy="4047490"/>
            <wp:effectExtent l="0" t="0" r="13335" b="10160"/>
            <wp:docPr id="7" name="图片 7" descr="IMG_20220709_094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0220709_094744"/>
                    <pic:cNvPicPr>
                      <a:picLocks noChangeAspect="1"/>
                    </pic:cNvPicPr>
                  </pic:nvPicPr>
                  <pic:blipFill>
                    <a:blip r:embed="rId43"/>
                    <a:stretch>
                      <a:fillRect/>
                    </a:stretch>
                  </pic:blipFill>
                  <pic:spPr>
                    <a:xfrm>
                      <a:off x="0" y="0"/>
                      <a:ext cx="5396865" cy="404749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color w:val="auto"/>
          <w:highlight w:val="none"/>
          <w:lang w:val="en-US" w:eastAsia="zh-CN"/>
        </w:rPr>
      </w:pPr>
      <w:r>
        <w:rPr>
          <w:rFonts w:hint="eastAsia"/>
          <w:color w:val="auto"/>
          <w:highlight w:val="none"/>
          <w:lang w:val="en-US" w:eastAsia="zh-CN"/>
        </w:rPr>
        <w:t>0+005泄洪闸现状照片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default"/>
          <w:color w:val="auto"/>
          <w:highlight w:val="none"/>
          <w:lang w:val="en-US" w:eastAsia="zh-CN"/>
        </w:rPr>
        <w:drawing>
          <wp:inline distT="0" distB="0" distL="114300" distR="114300">
            <wp:extent cx="5396865" cy="4047490"/>
            <wp:effectExtent l="0" t="0" r="13335" b="10160"/>
            <wp:docPr id="8" name="图片 8" descr="IMG_20220709_094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0220709_094854"/>
                    <pic:cNvPicPr>
                      <a:picLocks noChangeAspect="1"/>
                    </pic:cNvPicPr>
                  </pic:nvPicPr>
                  <pic:blipFill>
                    <a:blip r:embed="rId44"/>
                    <a:stretch>
                      <a:fillRect/>
                    </a:stretch>
                  </pic:blipFill>
                  <pic:spPr>
                    <a:xfrm>
                      <a:off x="0" y="0"/>
                      <a:ext cx="5396865" cy="404749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color w:val="auto"/>
          <w:highlight w:val="none"/>
          <w:lang w:val="en-US" w:eastAsia="zh-CN"/>
        </w:rPr>
      </w:pPr>
      <w:r>
        <w:rPr>
          <w:rFonts w:hint="eastAsia"/>
          <w:color w:val="auto"/>
          <w:highlight w:val="none"/>
          <w:lang w:val="en-US" w:eastAsia="zh-CN"/>
        </w:rPr>
        <w:t>0+050渠道现状照片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default"/>
          <w:color w:val="auto"/>
          <w:highlight w:val="none"/>
          <w:lang w:val="en-US" w:eastAsia="zh-CN"/>
        </w:rPr>
        <w:drawing>
          <wp:inline distT="0" distB="0" distL="114300" distR="114300">
            <wp:extent cx="5396865" cy="4047490"/>
            <wp:effectExtent l="0" t="0" r="13335" b="10160"/>
            <wp:docPr id="9" name="图片 9" descr="IMG_20220709_094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20220709_094925"/>
                    <pic:cNvPicPr>
                      <a:picLocks noChangeAspect="1"/>
                    </pic:cNvPicPr>
                  </pic:nvPicPr>
                  <pic:blipFill>
                    <a:blip r:embed="rId45"/>
                    <a:stretch>
                      <a:fillRect/>
                    </a:stretch>
                  </pic:blipFill>
                  <pic:spPr>
                    <a:xfrm>
                      <a:off x="0" y="0"/>
                      <a:ext cx="5396865" cy="404749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color w:val="auto"/>
          <w:highlight w:val="none"/>
          <w:lang w:val="en-US" w:eastAsia="zh-CN"/>
        </w:rPr>
      </w:pPr>
      <w:r>
        <w:rPr>
          <w:rFonts w:hint="eastAsia"/>
          <w:color w:val="auto"/>
          <w:highlight w:val="none"/>
          <w:lang w:val="en-US" w:eastAsia="zh-CN"/>
        </w:rPr>
        <w:t>0+100泄洪闸现状照片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default"/>
          <w:color w:val="auto"/>
          <w:highlight w:val="none"/>
          <w:lang w:val="en-US" w:eastAsia="zh-CN"/>
        </w:rPr>
        <w:drawing>
          <wp:inline distT="0" distB="0" distL="114300" distR="114300">
            <wp:extent cx="5420360" cy="4065270"/>
            <wp:effectExtent l="0" t="0" r="8890" b="11430"/>
            <wp:docPr id="10" name="图片 10" descr="IMG_20220709_095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0220709_095253"/>
                    <pic:cNvPicPr>
                      <a:picLocks noChangeAspect="1"/>
                    </pic:cNvPicPr>
                  </pic:nvPicPr>
                  <pic:blipFill>
                    <a:blip r:embed="rId46"/>
                    <a:stretch>
                      <a:fillRect/>
                    </a:stretch>
                  </pic:blipFill>
                  <pic:spPr>
                    <a:xfrm>
                      <a:off x="0" y="0"/>
                      <a:ext cx="5420360" cy="406527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eastAsia"/>
          <w:color w:val="auto"/>
          <w:highlight w:val="none"/>
          <w:lang w:val="en-US" w:eastAsia="zh-CN"/>
        </w:rPr>
        <w:t>0+200渠道现状照片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default"/>
          <w:color w:val="auto"/>
          <w:highlight w:val="none"/>
          <w:lang w:val="en-US" w:eastAsia="zh-CN"/>
        </w:rPr>
        <w:drawing>
          <wp:inline distT="0" distB="0" distL="114300" distR="114300">
            <wp:extent cx="5420360" cy="4065270"/>
            <wp:effectExtent l="0" t="0" r="8890" b="11430"/>
            <wp:docPr id="11" name="图片 11" descr="IMG_20220709_095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20220709_095302"/>
                    <pic:cNvPicPr>
                      <a:picLocks noChangeAspect="1"/>
                    </pic:cNvPicPr>
                  </pic:nvPicPr>
                  <pic:blipFill>
                    <a:blip r:embed="rId47"/>
                    <a:stretch>
                      <a:fillRect/>
                    </a:stretch>
                  </pic:blipFill>
                  <pic:spPr>
                    <a:xfrm>
                      <a:off x="0" y="0"/>
                      <a:ext cx="5420360" cy="406527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eastAsia"/>
          <w:color w:val="auto"/>
          <w:highlight w:val="none"/>
          <w:lang w:val="en-US" w:eastAsia="zh-CN"/>
        </w:rPr>
        <w:t>0+240人行桥现状照片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default"/>
          <w:color w:val="auto"/>
          <w:highlight w:val="none"/>
          <w:lang w:val="en-US" w:eastAsia="zh-CN"/>
        </w:rPr>
        <w:drawing>
          <wp:inline distT="0" distB="0" distL="114300" distR="114300">
            <wp:extent cx="5420360" cy="4065270"/>
            <wp:effectExtent l="0" t="0" r="8890" b="11430"/>
            <wp:docPr id="12" name="图片 12" descr="IMG_20220709_095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20220709_095434"/>
                    <pic:cNvPicPr>
                      <a:picLocks noChangeAspect="1"/>
                    </pic:cNvPicPr>
                  </pic:nvPicPr>
                  <pic:blipFill>
                    <a:blip r:embed="rId48"/>
                    <a:stretch>
                      <a:fillRect/>
                    </a:stretch>
                  </pic:blipFill>
                  <pic:spPr>
                    <a:xfrm>
                      <a:off x="0" y="0"/>
                      <a:ext cx="5420360" cy="406527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eastAsia"/>
          <w:color w:val="auto"/>
          <w:highlight w:val="none"/>
          <w:lang w:val="en-US" w:eastAsia="zh-CN"/>
        </w:rPr>
        <w:t>0+400渠道现状照片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default"/>
          <w:color w:val="auto"/>
          <w:highlight w:val="none"/>
          <w:lang w:val="en-US" w:eastAsia="zh-CN"/>
        </w:rPr>
        <w:drawing>
          <wp:inline distT="0" distB="0" distL="114300" distR="114300">
            <wp:extent cx="5420360" cy="4065270"/>
            <wp:effectExtent l="0" t="0" r="8890" b="11430"/>
            <wp:docPr id="13" name="图片 13" descr="IMG_20220709_095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20220709_095548"/>
                    <pic:cNvPicPr>
                      <a:picLocks noChangeAspect="1"/>
                    </pic:cNvPicPr>
                  </pic:nvPicPr>
                  <pic:blipFill>
                    <a:blip r:embed="rId49"/>
                    <a:stretch>
                      <a:fillRect/>
                    </a:stretch>
                  </pic:blipFill>
                  <pic:spPr>
                    <a:xfrm>
                      <a:off x="0" y="0"/>
                      <a:ext cx="5420360" cy="406527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eastAsia"/>
          <w:color w:val="auto"/>
          <w:highlight w:val="none"/>
          <w:lang w:val="en-US" w:eastAsia="zh-CN"/>
        </w:rPr>
        <w:t>0+600渠道现状照片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default"/>
          <w:color w:val="auto"/>
          <w:highlight w:val="none"/>
          <w:lang w:val="en-US" w:eastAsia="zh-CN"/>
        </w:rPr>
        <w:drawing>
          <wp:inline distT="0" distB="0" distL="114300" distR="114300">
            <wp:extent cx="5420360" cy="4065270"/>
            <wp:effectExtent l="0" t="0" r="8890" b="11430"/>
            <wp:docPr id="14" name="图片 14" descr="IMG_20220709_100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0220709_100255"/>
                    <pic:cNvPicPr>
                      <a:picLocks noChangeAspect="1"/>
                    </pic:cNvPicPr>
                  </pic:nvPicPr>
                  <pic:blipFill>
                    <a:blip r:embed="rId50"/>
                    <a:stretch>
                      <a:fillRect/>
                    </a:stretch>
                  </pic:blipFill>
                  <pic:spPr>
                    <a:xfrm>
                      <a:off x="0" y="0"/>
                      <a:ext cx="5420360" cy="406527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default"/>
          <w:color w:val="auto"/>
          <w:highlight w:val="none"/>
          <w:lang w:val="en-US" w:eastAsia="zh-CN"/>
        </w:rPr>
        <w:t>0+620~0+700</w:t>
      </w:r>
      <w:r>
        <w:rPr>
          <w:rFonts w:hint="eastAsia"/>
          <w:color w:val="auto"/>
          <w:highlight w:val="none"/>
          <w:lang w:val="en-US" w:eastAsia="zh-CN"/>
        </w:rPr>
        <w:t>渠道现状照片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default"/>
          <w:color w:val="auto"/>
          <w:highlight w:val="none"/>
          <w:lang w:val="en-US" w:eastAsia="zh-CN"/>
        </w:rPr>
        <w:drawing>
          <wp:inline distT="0" distB="0" distL="114300" distR="114300">
            <wp:extent cx="5420360" cy="4065270"/>
            <wp:effectExtent l="0" t="0" r="8890" b="11430"/>
            <wp:docPr id="15" name="图片 15" descr="IMG_20220709_100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_20220709_100442"/>
                    <pic:cNvPicPr>
                      <a:picLocks noChangeAspect="1"/>
                    </pic:cNvPicPr>
                  </pic:nvPicPr>
                  <pic:blipFill>
                    <a:blip r:embed="rId51"/>
                    <a:stretch>
                      <a:fillRect/>
                    </a:stretch>
                  </pic:blipFill>
                  <pic:spPr>
                    <a:xfrm>
                      <a:off x="0" y="0"/>
                      <a:ext cx="5420360" cy="406527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default"/>
          <w:color w:val="auto"/>
          <w:highlight w:val="none"/>
          <w:lang w:val="en-US" w:eastAsia="zh-CN"/>
        </w:rPr>
        <w:t>0+620~0+700</w:t>
      </w:r>
      <w:r>
        <w:rPr>
          <w:rFonts w:hint="eastAsia"/>
          <w:color w:val="auto"/>
          <w:highlight w:val="none"/>
          <w:lang w:val="en-US" w:eastAsia="zh-CN"/>
        </w:rPr>
        <w:t>渠道现状照片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default"/>
          <w:color w:val="auto"/>
          <w:highlight w:val="none"/>
          <w:lang w:val="en-US" w:eastAsia="zh-CN"/>
        </w:rPr>
        <w:drawing>
          <wp:inline distT="0" distB="0" distL="114300" distR="114300">
            <wp:extent cx="5420360" cy="4065270"/>
            <wp:effectExtent l="0" t="0" r="8890" b="11430"/>
            <wp:docPr id="17" name="图片 17" descr="IMG_20220709_100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20220709_100620"/>
                    <pic:cNvPicPr>
                      <a:picLocks noChangeAspect="1"/>
                    </pic:cNvPicPr>
                  </pic:nvPicPr>
                  <pic:blipFill>
                    <a:blip r:embed="rId52"/>
                    <a:stretch>
                      <a:fillRect/>
                    </a:stretch>
                  </pic:blipFill>
                  <pic:spPr>
                    <a:xfrm>
                      <a:off x="0" y="0"/>
                      <a:ext cx="5420360" cy="406527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eastAsia"/>
          <w:color w:val="auto"/>
          <w:highlight w:val="none"/>
          <w:lang w:val="en-US" w:eastAsia="zh-CN"/>
        </w:rPr>
        <w:t>0+795机耕圆涵现状照片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default"/>
          <w:color w:val="auto"/>
          <w:highlight w:val="none"/>
          <w:lang w:val="en-US" w:eastAsia="zh-CN"/>
        </w:rPr>
        <w:drawing>
          <wp:inline distT="0" distB="0" distL="114300" distR="114300">
            <wp:extent cx="5280025" cy="3959860"/>
            <wp:effectExtent l="0" t="0" r="15875" b="2540"/>
            <wp:docPr id="18" name="图片 18" descr="IMG_20220709_100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20220709_100831"/>
                    <pic:cNvPicPr>
                      <a:picLocks noChangeAspect="1"/>
                    </pic:cNvPicPr>
                  </pic:nvPicPr>
                  <pic:blipFill>
                    <a:blip r:embed="rId53"/>
                    <a:stretch>
                      <a:fillRect/>
                    </a:stretch>
                  </pic:blipFill>
                  <pic:spPr>
                    <a:xfrm>
                      <a:off x="0" y="0"/>
                      <a:ext cx="5280025" cy="395986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color w:val="auto"/>
          <w:highlight w:val="none"/>
          <w:lang w:val="en-US" w:eastAsia="zh-CN"/>
        </w:rPr>
      </w:pPr>
      <w:r>
        <w:rPr>
          <w:rFonts w:hint="eastAsia"/>
          <w:color w:val="auto"/>
          <w:highlight w:val="none"/>
          <w:lang w:val="en-US" w:eastAsia="zh-CN"/>
        </w:rPr>
        <w:t>1+000渠道现状照片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default"/>
          <w:color w:val="auto"/>
          <w:highlight w:val="none"/>
          <w:lang w:val="en-US" w:eastAsia="zh-CN"/>
        </w:rPr>
        <w:drawing>
          <wp:inline distT="0" distB="0" distL="114300" distR="114300">
            <wp:extent cx="5332730" cy="3959860"/>
            <wp:effectExtent l="0" t="0" r="1270" b="2540"/>
            <wp:docPr id="19" name="图片 19" descr="IMG_20220709_100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_20220709_100840"/>
                    <pic:cNvPicPr>
                      <a:picLocks noChangeAspect="1"/>
                    </pic:cNvPicPr>
                  </pic:nvPicPr>
                  <pic:blipFill>
                    <a:blip r:embed="rId54"/>
                    <a:stretch>
                      <a:fillRect/>
                    </a:stretch>
                  </pic:blipFill>
                  <pic:spPr>
                    <a:xfrm>
                      <a:off x="0" y="0"/>
                      <a:ext cx="5332730" cy="395986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eastAsia"/>
          <w:color w:val="auto"/>
          <w:highlight w:val="none"/>
          <w:lang w:val="en-US" w:eastAsia="zh-CN"/>
        </w:rPr>
        <w:t>1+100渠道现状照片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default"/>
          <w:color w:val="auto"/>
          <w:highlight w:val="none"/>
          <w:lang w:val="en-US" w:eastAsia="zh-CN"/>
        </w:rPr>
        <w:drawing>
          <wp:inline distT="0" distB="0" distL="114300" distR="114300">
            <wp:extent cx="5420360" cy="7227570"/>
            <wp:effectExtent l="0" t="0" r="8890" b="11430"/>
            <wp:docPr id="20" name="图片 20" descr="IMG_20220709_10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IMG_20220709_101214"/>
                    <pic:cNvPicPr>
                      <a:picLocks noChangeAspect="1"/>
                    </pic:cNvPicPr>
                  </pic:nvPicPr>
                  <pic:blipFill>
                    <a:blip r:embed="rId55"/>
                    <a:stretch>
                      <a:fillRect/>
                    </a:stretch>
                  </pic:blipFill>
                  <pic:spPr>
                    <a:xfrm>
                      <a:off x="0" y="0"/>
                      <a:ext cx="5420360" cy="722757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eastAsia"/>
          <w:color w:val="auto"/>
          <w:highlight w:val="none"/>
          <w:lang w:val="en-US" w:eastAsia="zh-CN"/>
        </w:rPr>
        <w:t>1+200渠道现状照片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default"/>
          <w:color w:val="auto"/>
          <w:highlight w:val="none"/>
          <w:lang w:val="en-US" w:eastAsia="zh-CN"/>
        </w:rPr>
        <w:drawing>
          <wp:inline distT="0" distB="0" distL="114300" distR="114300">
            <wp:extent cx="5420360" cy="7227570"/>
            <wp:effectExtent l="0" t="0" r="8890" b="11430"/>
            <wp:docPr id="33" name="图片 33" descr="IMG_20220709_10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IMG_20220709_101301"/>
                    <pic:cNvPicPr>
                      <a:picLocks noChangeAspect="1"/>
                    </pic:cNvPicPr>
                  </pic:nvPicPr>
                  <pic:blipFill>
                    <a:blip r:embed="rId56"/>
                    <a:stretch>
                      <a:fillRect/>
                    </a:stretch>
                  </pic:blipFill>
                  <pic:spPr>
                    <a:xfrm>
                      <a:off x="0" y="0"/>
                      <a:ext cx="5420360" cy="722757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color w:val="auto"/>
          <w:highlight w:val="none"/>
          <w:lang w:val="en-US" w:eastAsia="zh-CN"/>
        </w:rPr>
      </w:pPr>
      <w:r>
        <w:rPr>
          <w:rFonts w:hint="eastAsia"/>
          <w:color w:val="auto"/>
          <w:highlight w:val="none"/>
          <w:lang w:val="en-US" w:eastAsia="zh-CN"/>
        </w:rPr>
        <w:t>1+207渠道现状照片</w:t>
      </w:r>
    </w:p>
    <w:p>
      <w:pPr>
        <w:pStyle w:val="335"/>
        <w:spacing w:before="156" w:after="156"/>
        <w:rPr>
          <w:color w:val="auto"/>
          <w:highlight w:val="none"/>
        </w:rPr>
      </w:pPr>
      <w:bookmarkStart w:id="238" w:name="_Toc536295087"/>
      <w:r>
        <w:rPr>
          <w:color w:val="auto"/>
          <w:highlight w:val="none"/>
        </w:rPr>
        <w:t>4</w:t>
      </w:r>
      <w:r>
        <w:rPr>
          <w:rFonts w:hint="eastAsia"/>
          <w:color w:val="auto"/>
          <w:highlight w:val="none"/>
        </w:rPr>
        <w:t>.1.</w:t>
      </w:r>
      <w:r>
        <w:rPr>
          <w:color w:val="auto"/>
          <w:highlight w:val="none"/>
        </w:rPr>
        <w:t>5</w:t>
      </w:r>
      <w:r>
        <w:rPr>
          <w:rFonts w:hint="eastAsia"/>
          <w:color w:val="auto"/>
          <w:highlight w:val="none"/>
        </w:rPr>
        <w:t xml:space="preserve"> 现状存在</w:t>
      </w:r>
      <w:r>
        <w:rPr>
          <w:color w:val="auto"/>
          <w:highlight w:val="none"/>
        </w:rPr>
        <w:t>的问题</w:t>
      </w:r>
      <w:bookmarkEnd w:id="238"/>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（1）灌区大部分渠道仍是土渠，渠道渗漏破坏严重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南大水库灌区干渠纵坡较平缓，大部分渠道仍是土渠，部分已衬砌的渠道已严重损坏变形，局部地段渠底为风化岩地层，其透水性强，原来局部地段做过单面的砂浆防渗处理，但早已剥落，基本不起作用，渗漏十分严重，已影响渠道安全。</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（2）区域内排洪闸破损严重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从化区温泉镇南大水库灌区（桃莲段）改造工程范围内渠道淤塞，排洪闸老化，破损严重，部门排洪闸无法正常启闭，不能满足区域内排洪要求，影响区域防洪安全，必须通过渠道清淤疏浚及排洪闸改造重建，以保障区域排洪安全。</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（3）南大水库大坝溢流面损坏严重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由于大坝溢流面批荡脱落，存在不同程序的损坏等问题，影响了大坝的行洪安全，若不进行整治，进一步会影响下游灌区防洪安全</w:t>
      </w:r>
      <w:r>
        <w:rPr>
          <w:rFonts w:hint="eastAsia"/>
          <w:color w:val="auto"/>
          <w:highlight w:val="none"/>
          <w:lang w:val="en-US" w:eastAsia="zh-CN"/>
        </w:rPr>
        <w:t>。</w:t>
      </w:r>
    </w:p>
    <w:p>
      <w:pPr>
        <w:pStyle w:val="335"/>
        <w:spacing w:before="156" w:after="156"/>
        <w:rPr>
          <w:color w:val="auto"/>
          <w:highlight w:val="none"/>
        </w:rPr>
      </w:pPr>
      <w:bookmarkStart w:id="239" w:name="_Toc536295088"/>
      <w:r>
        <w:rPr>
          <w:color w:val="auto"/>
          <w:highlight w:val="none"/>
        </w:rPr>
        <w:t>4</w:t>
      </w:r>
      <w:r>
        <w:rPr>
          <w:rFonts w:hint="eastAsia"/>
          <w:color w:val="auto"/>
          <w:highlight w:val="none"/>
        </w:rPr>
        <w:t>.1.</w:t>
      </w:r>
      <w:r>
        <w:rPr>
          <w:color w:val="auto"/>
          <w:highlight w:val="none"/>
        </w:rPr>
        <w:t>6</w:t>
      </w:r>
      <w:r>
        <w:rPr>
          <w:rFonts w:hint="eastAsia"/>
          <w:color w:val="auto"/>
          <w:highlight w:val="none"/>
        </w:rPr>
        <w:t xml:space="preserve"> 工程的必要性</w:t>
      </w:r>
      <w:bookmarkEnd w:id="239"/>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bookmarkStart w:id="240" w:name="_Toc536295089"/>
      <w:bookmarkStart w:id="241" w:name="_Toc513816912"/>
      <w:r>
        <w:rPr>
          <w:rFonts w:hint="eastAsia"/>
          <w:color w:val="auto"/>
          <w:highlight w:val="none"/>
          <w:lang w:val="en-US" w:eastAsia="zh-CN"/>
        </w:rPr>
        <w:t>（1）提高南大水库灌区干渠排洪、灌溉能力，确保区域水安全</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南大水库灌区干渠多段渠道兼顾排洪和灌溉的功能，现状渠道老化，灌区大部分渠道仍是土渠，部分已衬砌的渠道严重损坏变形，渠系建筑物老化，部分渠水闸等建筑物设备老化严重，存在一定的安全隐患，不能满足区域内排洪需求。</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因此，南大水库灌区迫切需要进行整治，提高南大水库灌区干渠排洪能力，保障排洪安全。</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（2）工程建设有助于提高农业用水效率，推进农业现代化发展</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现状南大水库灌区灌渠建设年代早，建设标准低，如今存在工程老化、不配套、管理粗放、渠系建筑物老化、灌溉水利用率低等问题，目前南大水库灌区干渠渠系水利用系数仅为0.45。对南大水库灌区干渠进行整治有助于提高农业用水效率，推广农业节水新技术，培养节水意识，节约农业用水，对水资源进行合理化利用，推进农业现代化发展。</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（3）是解决区域水资源短缺、实现水资源可持续利用的有效措施</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流溪河流域降雨充沛，但时空时程分布不均，给水资源合理有效利用带来了不便，尤其以从化区中、西部丘陵地区，历史上就是苦旱农田地区，因地势高，区内缺少大型调蓄设施，往往导致“雨季水浸田，旱季田土裂”的现象，严重制约当地农业经济的发展。</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从化区温泉镇南大水库灌区（桃莲段）改造工程的实施，不仅极大地改善了区域内排洪能力，同时改善了该地区缺水少水的现象，但是随着当地经济的发展，尤其是如今反季节蔬菜，瓜果的种植，温室花卉的培养，对水质和水量的要求更高，而主要引水干渠经多年使用，存在各种问题，渠系水利用系数较低，造成水资源的浪费，使得区域内仍存在水资源量相对不足的情况时有发生。</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因此，对南大水库灌区干渠进行整治，提高渠系水利用系数，节约水资源，提高水资源利用率，实现水资源可持续利用，符合社会经济发展的要求，能更好的推动从化区经济的快速、稳定发展。</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（4）是改善生态环境的需要、推进从化区良性发展的契机</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color w:val="auto"/>
          <w:highlight w:val="none"/>
          <w:lang w:val="en-US" w:eastAsia="zh-CN"/>
        </w:rPr>
      </w:pPr>
      <w:r>
        <w:rPr>
          <w:rFonts w:hint="eastAsia"/>
          <w:color w:val="auto"/>
          <w:highlight w:val="none"/>
          <w:lang w:val="en-US" w:eastAsia="zh-CN"/>
        </w:rPr>
        <w:t>流溪河是从化区乃至广州市的主要饮用水水源地，在从化区境内有流溪河大型水库，黄龙带等中型水库，水资源调节性能较好，地表水主要供灌溉及生活用水，水质较好。随着社会经济的发展，流溪河流域内的生产、生活用水量显著增加，使得整个流域的水质逐年下降。近年来我市加大了生活生产污水排放处理投入，并逐步加大了天然河道水质的治理力度，根据社会发展需求修建了各种水环境工程，以创造优美的人文居住环境。因此，</w:t>
      </w:r>
      <w:r>
        <w:rPr>
          <w:rFonts w:hint="eastAsia"/>
          <w:color w:val="auto"/>
          <w:highlight w:val="none"/>
        </w:rPr>
        <w:t>从化区温泉镇南大水库灌区（</w:t>
      </w:r>
      <w:r>
        <w:rPr>
          <w:rFonts w:hint="eastAsia"/>
          <w:color w:val="auto"/>
          <w:highlight w:val="none"/>
          <w:lang w:eastAsia="zh-CN"/>
        </w:rPr>
        <w:t>桃莲段</w:t>
      </w:r>
      <w:r>
        <w:rPr>
          <w:rFonts w:hint="eastAsia"/>
          <w:color w:val="auto"/>
          <w:highlight w:val="none"/>
        </w:rPr>
        <w:t>）改造工程</w:t>
      </w:r>
      <w:r>
        <w:rPr>
          <w:rFonts w:hint="eastAsia"/>
          <w:color w:val="auto"/>
          <w:highlight w:val="none"/>
          <w:lang w:val="en-US" w:eastAsia="zh-CN"/>
        </w:rPr>
        <w:t>，是除了满足生产、生活等基本用水需要外，更是创造山清水秀生态环境的需要。</w:t>
      </w:r>
    </w:p>
    <w:p>
      <w:pPr>
        <w:pStyle w:val="3"/>
        <w:rPr>
          <w:color w:val="auto"/>
          <w:highlight w:val="none"/>
        </w:rPr>
      </w:pPr>
      <w:bookmarkStart w:id="242" w:name="_Toc4312"/>
      <w:r>
        <w:rPr>
          <w:color w:val="auto"/>
          <w:highlight w:val="none"/>
        </w:rPr>
        <w:t xml:space="preserve">4.2 </w:t>
      </w:r>
      <w:r>
        <w:rPr>
          <w:rFonts w:hint="eastAsia"/>
          <w:color w:val="auto"/>
          <w:highlight w:val="none"/>
        </w:rPr>
        <w:t>工程任务</w:t>
      </w:r>
      <w:bookmarkEnd w:id="240"/>
      <w:bookmarkEnd w:id="241"/>
      <w:bookmarkEnd w:id="242"/>
    </w:p>
    <w:p>
      <w:pPr>
        <w:pStyle w:val="335"/>
        <w:spacing w:before="156" w:after="156"/>
        <w:rPr>
          <w:color w:val="auto"/>
          <w:highlight w:val="none"/>
        </w:rPr>
      </w:pPr>
      <w:bookmarkStart w:id="243" w:name="_Toc536295090"/>
      <w:r>
        <w:rPr>
          <w:color w:val="auto"/>
          <w:highlight w:val="none"/>
        </w:rPr>
        <w:t>4</w:t>
      </w:r>
      <w:r>
        <w:rPr>
          <w:rFonts w:hint="eastAsia"/>
          <w:color w:val="auto"/>
          <w:highlight w:val="none"/>
        </w:rPr>
        <w:t>.</w:t>
      </w:r>
      <w:r>
        <w:rPr>
          <w:color w:val="auto"/>
          <w:highlight w:val="none"/>
        </w:rPr>
        <w:t>2</w:t>
      </w:r>
      <w:r>
        <w:rPr>
          <w:rFonts w:hint="eastAsia"/>
          <w:color w:val="auto"/>
          <w:highlight w:val="none"/>
        </w:rPr>
        <w:t>.1 工程</w:t>
      </w:r>
      <w:r>
        <w:rPr>
          <w:color w:val="auto"/>
          <w:highlight w:val="none"/>
        </w:rPr>
        <w:t>目标</w:t>
      </w:r>
      <w:bookmarkEnd w:id="243"/>
    </w:p>
    <w:p>
      <w:pPr>
        <w:ind w:firstLine="480"/>
        <w:rPr>
          <w:color w:val="auto"/>
          <w:highlight w:val="none"/>
        </w:rPr>
      </w:pPr>
      <w:r>
        <w:rPr>
          <w:rFonts w:hint="eastAsia"/>
          <w:color w:val="auto"/>
          <w:highlight w:val="none"/>
        </w:rPr>
        <w:t>本工程建设的</w:t>
      </w:r>
      <w:r>
        <w:rPr>
          <w:color w:val="auto"/>
          <w:highlight w:val="none"/>
        </w:rPr>
        <w:t>主要目标为：</w:t>
      </w:r>
      <w:r>
        <w:rPr>
          <w:rFonts w:hint="eastAsia"/>
          <w:color w:val="auto"/>
          <w:szCs w:val="21"/>
          <w:highlight w:val="none"/>
        </w:rPr>
        <w:t>提升防洪排涝标准</w:t>
      </w:r>
      <w:r>
        <w:rPr>
          <w:rFonts w:hint="eastAsia"/>
          <w:color w:val="auto"/>
          <w:highlight w:val="none"/>
        </w:rPr>
        <w:t>，</w:t>
      </w:r>
      <w:r>
        <w:rPr>
          <w:rFonts w:hint="eastAsia"/>
          <w:color w:val="auto"/>
          <w:szCs w:val="21"/>
          <w:highlight w:val="none"/>
        </w:rPr>
        <w:t>优化水系布局，优化河道水域岸线；</w:t>
      </w:r>
      <w:r>
        <w:rPr>
          <w:rFonts w:hint="eastAsia"/>
          <w:color w:val="auto"/>
          <w:highlight w:val="none"/>
        </w:rPr>
        <w:t>以渠道疏浚、防渗及渠系建筑物更新改造为重点，提高渠道排洪、灌溉能力。</w:t>
      </w:r>
    </w:p>
    <w:p>
      <w:pPr>
        <w:pStyle w:val="335"/>
        <w:spacing w:before="156" w:after="156"/>
        <w:rPr>
          <w:color w:val="auto"/>
          <w:highlight w:val="none"/>
        </w:rPr>
      </w:pPr>
      <w:bookmarkStart w:id="244" w:name="_Toc536295091"/>
      <w:r>
        <w:rPr>
          <w:color w:val="auto"/>
          <w:highlight w:val="none"/>
        </w:rPr>
        <w:t>4</w:t>
      </w:r>
      <w:r>
        <w:rPr>
          <w:rFonts w:hint="eastAsia"/>
          <w:color w:val="auto"/>
          <w:highlight w:val="none"/>
        </w:rPr>
        <w:t>.</w:t>
      </w:r>
      <w:r>
        <w:rPr>
          <w:color w:val="auto"/>
          <w:highlight w:val="none"/>
        </w:rPr>
        <w:t>2</w:t>
      </w:r>
      <w:r>
        <w:rPr>
          <w:rFonts w:hint="eastAsia"/>
          <w:color w:val="auto"/>
          <w:highlight w:val="none"/>
        </w:rPr>
        <w:t>.</w:t>
      </w:r>
      <w:r>
        <w:rPr>
          <w:color w:val="auto"/>
          <w:highlight w:val="none"/>
        </w:rPr>
        <w:t>2</w:t>
      </w:r>
      <w:r>
        <w:rPr>
          <w:rFonts w:hint="eastAsia"/>
          <w:color w:val="auto"/>
          <w:highlight w:val="none"/>
        </w:rPr>
        <w:t xml:space="preserve"> 工程任务</w:t>
      </w:r>
      <w:bookmarkEnd w:id="244"/>
    </w:p>
    <w:p>
      <w:pPr>
        <w:ind w:firstLine="480"/>
        <w:rPr>
          <w:rFonts w:hint="eastAsia"/>
          <w:color w:val="auto"/>
          <w:highlight w:val="none"/>
          <w:lang w:eastAsia="zh-CN"/>
        </w:rPr>
      </w:pPr>
      <w:bookmarkStart w:id="245" w:name="_Toc508891985"/>
      <w:bookmarkStart w:id="246" w:name="_Toc513816913"/>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主要建设内容是对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渠道进行三面光改造，改造总长为</w:t>
      </w:r>
      <w:r>
        <w:rPr>
          <w:rFonts w:hint="eastAsia"/>
          <w:b w:val="0"/>
          <w:bCs/>
          <w:color w:val="auto"/>
          <w:highlight w:val="none"/>
          <w:lang w:val="en-US" w:eastAsia="zh-CN"/>
        </w:rPr>
        <w:t>1207m，主要建筑物包括新建浆砌石渠道1207m，新建泄洪闸1座，拆除重建泄洪闸2座，拆除重建机耕桥2座，拆除重建人行桥5座，新建钢筋砼溢流面板1168m²等。</w:t>
      </w:r>
    </w:p>
    <w:p>
      <w:pPr>
        <w:pStyle w:val="3"/>
        <w:rPr>
          <w:color w:val="auto"/>
          <w:highlight w:val="none"/>
        </w:rPr>
      </w:pPr>
      <w:bookmarkStart w:id="247" w:name="_Toc10375"/>
      <w:r>
        <w:rPr>
          <w:color w:val="auto"/>
          <w:highlight w:val="none"/>
        </w:rPr>
        <w:t>4.3 设计标准</w:t>
      </w:r>
      <w:bookmarkEnd w:id="245"/>
      <w:bookmarkEnd w:id="246"/>
      <w:bookmarkEnd w:id="247"/>
    </w:p>
    <w:p>
      <w:pPr>
        <w:pStyle w:val="335"/>
        <w:spacing w:before="156" w:after="156"/>
        <w:rPr>
          <w:color w:val="auto"/>
          <w:highlight w:val="none"/>
        </w:rPr>
      </w:pPr>
      <w:r>
        <w:rPr>
          <w:rFonts w:hint="eastAsia"/>
          <w:color w:val="auto"/>
          <w:highlight w:val="none"/>
        </w:rPr>
        <w:t>4.3.</w:t>
      </w:r>
      <w:r>
        <w:rPr>
          <w:rFonts w:hint="eastAsia"/>
          <w:color w:val="auto"/>
          <w:highlight w:val="none"/>
          <w:lang w:val="en-US" w:eastAsia="zh-CN"/>
        </w:rPr>
        <w:t>1</w:t>
      </w:r>
      <w:r>
        <w:rPr>
          <w:rFonts w:hint="eastAsia"/>
          <w:color w:val="auto"/>
          <w:highlight w:val="none"/>
        </w:rPr>
        <w:t xml:space="preserve"> 工程等别及防洪标准</w:t>
      </w:r>
    </w:p>
    <w:p>
      <w:pPr>
        <w:ind w:firstLine="480"/>
        <w:rPr>
          <w:rFonts w:hint="eastAsia"/>
          <w:color w:val="auto"/>
          <w:highlight w:val="none"/>
        </w:rPr>
      </w:pPr>
      <w:r>
        <w:rPr>
          <w:rFonts w:hint="eastAsia"/>
          <w:color w:val="auto"/>
          <w:highlight w:val="none"/>
        </w:rPr>
        <w:t>（1）工程等别</w:t>
      </w:r>
    </w:p>
    <w:p>
      <w:pPr>
        <w:ind w:firstLine="480"/>
        <w:rPr>
          <w:rFonts w:hint="eastAsia"/>
          <w:color w:val="auto"/>
          <w:highlight w:val="none"/>
        </w:rPr>
      </w:pPr>
      <w:r>
        <w:rPr>
          <w:rFonts w:hint="eastAsia"/>
          <w:color w:val="auto"/>
          <w:highlight w:val="none"/>
          <w:lang w:eastAsia="zh-CN"/>
        </w:rPr>
        <w:t>南大水库</w:t>
      </w:r>
      <w:r>
        <w:rPr>
          <w:rFonts w:hint="eastAsia"/>
          <w:color w:val="auto"/>
          <w:highlight w:val="none"/>
        </w:rPr>
        <w:t>灌区涉及灌溉面积</w:t>
      </w:r>
      <w:r>
        <w:rPr>
          <w:rFonts w:hint="eastAsia"/>
          <w:color w:val="auto"/>
          <w:highlight w:val="none"/>
          <w:lang w:val="en-US" w:eastAsia="zh-CN"/>
        </w:rPr>
        <w:t>8900</w:t>
      </w:r>
      <w:r>
        <w:rPr>
          <w:rFonts w:hint="eastAsia"/>
          <w:color w:val="auto"/>
          <w:highlight w:val="none"/>
        </w:rPr>
        <w:t>亩，根据《灌区改造技术规范》（GB50599-2010），灌区灌溉面积</w:t>
      </w:r>
      <w:r>
        <w:rPr>
          <w:rFonts w:hint="eastAsia"/>
          <w:color w:val="auto"/>
          <w:highlight w:val="none"/>
          <w:lang w:eastAsia="zh-CN"/>
        </w:rPr>
        <w:t>小</w:t>
      </w:r>
      <w:r>
        <w:rPr>
          <w:rFonts w:hint="eastAsia"/>
          <w:color w:val="auto"/>
          <w:highlight w:val="none"/>
        </w:rPr>
        <w:t>于1万亩，为</w:t>
      </w:r>
      <w:r>
        <w:rPr>
          <w:rFonts w:hint="eastAsia"/>
          <w:color w:val="auto"/>
          <w:highlight w:val="none"/>
          <w:lang w:eastAsia="zh-CN"/>
        </w:rPr>
        <w:t>小</w:t>
      </w:r>
      <w:r>
        <w:rPr>
          <w:rFonts w:hint="eastAsia"/>
          <w:color w:val="auto"/>
          <w:highlight w:val="none"/>
        </w:rPr>
        <w:t>型灌区，本工程</w:t>
      </w:r>
      <w:r>
        <w:rPr>
          <w:rFonts w:hint="eastAsia"/>
          <w:color w:val="auto"/>
          <w:highlight w:val="none"/>
          <w:lang w:eastAsia="zh-CN"/>
        </w:rPr>
        <w:t>南大水库</w:t>
      </w:r>
      <w:r>
        <w:rPr>
          <w:rFonts w:hint="eastAsia"/>
          <w:color w:val="auto"/>
          <w:highlight w:val="none"/>
        </w:rPr>
        <w:t>灌区为</w:t>
      </w:r>
      <w:r>
        <w:rPr>
          <w:rFonts w:hint="eastAsia"/>
          <w:color w:val="auto"/>
          <w:highlight w:val="none"/>
          <w:lang w:eastAsia="zh-CN"/>
        </w:rPr>
        <w:t>小</w:t>
      </w:r>
      <w:r>
        <w:rPr>
          <w:rFonts w:hint="eastAsia"/>
          <w:color w:val="auto"/>
          <w:highlight w:val="none"/>
        </w:rPr>
        <w:t>型灌区，工程等别为</w:t>
      </w:r>
      <w:r>
        <w:rPr>
          <w:rFonts w:hint="eastAsia"/>
          <w:color w:val="auto"/>
          <w:highlight w:val="none"/>
          <w:lang w:eastAsia="zh-CN"/>
        </w:rPr>
        <w:t>Ⅴ</w:t>
      </w:r>
      <w:r>
        <w:rPr>
          <w:rFonts w:hint="eastAsia"/>
          <w:color w:val="auto"/>
          <w:highlight w:val="none"/>
        </w:rPr>
        <w:t>等。</w:t>
      </w:r>
    </w:p>
    <w:p>
      <w:pPr>
        <w:ind w:firstLine="480"/>
        <w:rPr>
          <w:rFonts w:hint="eastAsia"/>
          <w:color w:val="auto"/>
          <w:highlight w:val="none"/>
        </w:rPr>
      </w:pPr>
      <w:r>
        <w:rPr>
          <w:rFonts w:hint="eastAsia"/>
          <w:color w:val="auto"/>
          <w:highlight w:val="none"/>
        </w:rPr>
        <w:t>（2）建筑物级别及防洪标准</w:t>
      </w:r>
    </w:p>
    <w:p>
      <w:pPr>
        <w:ind w:firstLine="480"/>
        <w:rPr>
          <w:rFonts w:hint="eastAsia"/>
          <w:color w:val="auto"/>
          <w:highlight w:val="none"/>
        </w:rPr>
      </w:pPr>
      <w:r>
        <w:rPr>
          <w:rFonts w:hint="eastAsia"/>
          <w:color w:val="auto"/>
          <w:highlight w:val="none"/>
        </w:rPr>
        <w:t>本工程干渠以排洪、灌溉任务为主，根据《灌溉与排水工程设计规范》（GB 50288-2018）的规定，引水干渠的级别当按灌溉和排水流量分属两个不同工程级别时，应按其中较高的级别确定。因各引水干渠渠道灌溉流量和排水流量不同，本次工程分别按灌溉和排水流量选取工程级别，并按其中较高的级别确定。渠道全段级别5级，渠道防洪标准根据《灌溉与排水工程设计规范》表3.3.3，进行确定。各段渠道的防洪标准为10年一遇。</w:t>
      </w:r>
    </w:p>
    <w:p>
      <w:pPr>
        <w:pStyle w:val="3"/>
        <w:rPr>
          <w:color w:val="auto"/>
          <w:highlight w:val="none"/>
        </w:rPr>
      </w:pPr>
      <w:bookmarkStart w:id="248" w:name="_Toc9414"/>
      <w:bookmarkStart w:id="249" w:name="_Toc508891986"/>
      <w:bookmarkStart w:id="250" w:name="_Toc513816914"/>
      <w:bookmarkStart w:id="251" w:name="_Toc536295094"/>
      <w:r>
        <w:rPr>
          <w:rFonts w:hint="eastAsia"/>
          <w:color w:val="auto"/>
          <w:highlight w:val="none"/>
        </w:rPr>
        <w:t>4.4 排洪能力计算</w:t>
      </w:r>
      <w:bookmarkEnd w:id="248"/>
    </w:p>
    <w:p>
      <w:pPr>
        <w:ind w:firstLine="480"/>
        <w:rPr>
          <w:color w:val="auto"/>
          <w:highlight w:val="none"/>
        </w:rPr>
      </w:pPr>
      <w:r>
        <w:rPr>
          <w:color w:val="auto"/>
          <w:highlight w:val="none"/>
        </w:rPr>
        <w:t>根据</w:t>
      </w:r>
      <w:r>
        <w:rPr>
          <w:rFonts w:hint="eastAsia"/>
          <w:color w:val="auto"/>
          <w:highlight w:val="none"/>
        </w:rPr>
        <w:t>测量、</w:t>
      </w:r>
      <w:r>
        <w:rPr>
          <w:color w:val="auto"/>
          <w:highlight w:val="none"/>
        </w:rPr>
        <w:t>地形数据及</w:t>
      </w:r>
      <w:r>
        <w:rPr>
          <w:rFonts w:hint="eastAsia"/>
          <w:color w:val="auto"/>
          <w:highlight w:val="none"/>
        </w:rPr>
        <w:t>现场</w:t>
      </w:r>
      <w:r>
        <w:rPr>
          <w:color w:val="auto"/>
          <w:highlight w:val="none"/>
        </w:rPr>
        <w:t>调查，</w:t>
      </w:r>
      <w:r>
        <w:rPr>
          <w:rFonts w:hint="eastAsia"/>
          <w:color w:val="auto"/>
          <w:highlight w:val="none"/>
          <w:lang w:eastAsia="zh-CN"/>
        </w:rPr>
        <w:t>南大水库灌区干渠</w:t>
      </w:r>
      <w:r>
        <w:rPr>
          <w:rFonts w:hint="eastAsia"/>
          <w:color w:val="auto"/>
          <w:highlight w:val="none"/>
        </w:rPr>
        <w:t>承担</w:t>
      </w:r>
      <w:r>
        <w:rPr>
          <w:color w:val="auto"/>
          <w:highlight w:val="none"/>
        </w:rPr>
        <w:t>排水功能的主要为</w:t>
      </w:r>
      <w:r>
        <w:rPr>
          <w:rFonts w:hint="eastAsia"/>
          <w:color w:val="auto"/>
          <w:highlight w:val="none"/>
        </w:rPr>
        <w:t>沿线有山洪汇入渠段及</w:t>
      </w:r>
      <w:r>
        <w:rPr>
          <w:color w:val="auto"/>
          <w:highlight w:val="none"/>
        </w:rPr>
        <w:t>渠段上的</w:t>
      </w:r>
      <w:r>
        <w:rPr>
          <w:rFonts w:hint="eastAsia"/>
          <w:color w:val="auto"/>
          <w:highlight w:val="none"/>
        </w:rPr>
        <w:t>交叉建筑物（</w:t>
      </w:r>
      <w:r>
        <w:rPr>
          <w:rFonts w:hint="eastAsia"/>
          <w:color w:val="auto"/>
          <w:highlight w:val="none"/>
          <w:lang w:eastAsia="zh-CN"/>
        </w:rPr>
        <w:t>泄洪闸</w:t>
      </w:r>
      <w:r>
        <w:rPr>
          <w:color w:val="auto"/>
          <w:highlight w:val="none"/>
        </w:rPr>
        <w:t>）</w:t>
      </w:r>
      <w:r>
        <w:rPr>
          <w:rFonts w:hint="eastAsia"/>
          <w:color w:val="auto"/>
          <w:highlight w:val="none"/>
        </w:rPr>
        <w:t>。承担</w:t>
      </w:r>
      <w:r>
        <w:rPr>
          <w:color w:val="auto"/>
          <w:highlight w:val="none"/>
        </w:rPr>
        <w:t>排水功能的</w:t>
      </w:r>
      <w:r>
        <w:rPr>
          <w:rFonts w:hint="eastAsia"/>
          <w:color w:val="auto"/>
          <w:highlight w:val="none"/>
        </w:rPr>
        <w:t>渠段</w:t>
      </w:r>
      <w:r>
        <w:rPr>
          <w:color w:val="auto"/>
          <w:highlight w:val="none"/>
        </w:rPr>
        <w:t>渠宽均能满足相应标准下洪峰过流，但因</w:t>
      </w:r>
      <w:r>
        <w:rPr>
          <w:rFonts w:hint="eastAsia"/>
          <w:color w:val="auto"/>
          <w:highlight w:val="none"/>
          <w:lang w:eastAsia="zh-CN"/>
        </w:rPr>
        <w:t>渠道仍是土渠、部分</w:t>
      </w:r>
      <w:r>
        <w:rPr>
          <w:color w:val="auto"/>
          <w:highlight w:val="none"/>
        </w:rPr>
        <w:t>渠身破损</w:t>
      </w:r>
      <w:r>
        <w:rPr>
          <w:rFonts w:hint="eastAsia"/>
          <w:color w:val="auto"/>
          <w:highlight w:val="none"/>
        </w:rPr>
        <w:t>、</w:t>
      </w:r>
      <w:r>
        <w:rPr>
          <w:color w:val="auto"/>
          <w:highlight w:val="none"/>
        </w:rPr>
        <w:t>渠道超高不够等原因，</w:t>
      </w:r>
      <w:r>
        <w:rPr>
          <w:rFonts w:hint="eastAsia"/>
          <w:color w:val="auto"/>
          <w:highlight w:val="none"/>
        </w:rPr>
        <w:t>需</w:t>
      </w:r>
      <w:r>
        <w:rPr>
          <w:color w:val="auto"/>
          <w:highlight w:val="none"/>
        </w:rPr>
        <w:t>对其进行整治</w:t>
      </w:r>
      <w:r>
        <w:rPr>
          <w:rFonts w:hint="eastAsia"/>
          <w:color w:val="auto"/>
          <w:highlight w:val="none"/>
        </w:rPr>
        <w:t>；</w:t>
      </w:r>
      <w:r>
        <w:rPr>
          <w:color w:val="auto"/>
          <w:highlight w:val="none"/>
        </w:rPr>
        <w:t>由于现状渠</w:t>
      </w:r>
      <w:r>
        <w:rPr>
          <w:rFonts w:hint="eastAsia"/>
          <w:color w:val="auto"/>
          <w:highlight w:val="none"/>
          <w:lang w:eastAsia="zh-CN"/>
        </w:rPr>
        <w:t>道</w:t>
      </w:r>
      <w:r>
        <w:rPr>
          <w:color w:val="auto"/>
          <w:highlight w:val="none"/>
        </w:rPr>
        <w:t>仍承担灌溉功能，因此水面线的推算结合灌溉流量一并计算，本章节仅对渠道宽度过流能力进行复核</w:t>
      </w:r>
      <w:r>
        <w:rPr>
          <w:rFonts w:hint="eastAsia"/>
          <w:color w:val="auto"/>
          <w:highlight w:val="none"/>
        </w:rPr>
        <w:t>。承担</w:t>
      </w:r>
      <w:r>
        <w:rPr>
          <w:color w:val="auto"/>
          <w:highlight w:val="none"/>
        </w:rPr>
        <w:t>排水功能的交叉建筑物宽度均能满足相应标准下洪峰过流，但因</w:t>
      </w:r>
      <w:r>
        <w:rPr>
          <w:rFonts w:hint="eastAsia"/>
          <w:color w:val="auto"/>
          <w:highlight w:val="none"/>
        </w:rPr>
        <w:t>闸室老旧、</w:t>
      </w:r>
      <w:r>
        <w:rPr>
          <w:color w:val="auto"/>
          <w:highlight w:val="none"/>
        </w:rPr>
        <w:t>运行不佳等原因，</w:t>
      </w:r>
      <w:r>
        <w:rPr>
          <w:rFonts w:hint="eastAsia"/>
          <w:color w:val="auto"/>
          <w:highlight w:val="none"/>
        </w:rPr>
        <w:t>需</w:t>
      </w:r>
      <w:r>
        <w:rPr>
          <w:color w:val="auto"/>
          <w:highlight w:val="none"/>
        </w:rPr>
        <w:t>对其进行</w:t>
      </w:r>
      <w:r>
        <w:rPr>
          <w:rFonts w:hint="eastAsia"/>
          <w:color w:val="auto"/>
          <w:highlight w:val="none"/>
        </w:rPr>
        <w:t>改造。</w:t>
      </w:r>
    </w:p>
    <w:p>
      <w:pPr>
        <w:pStyle w:val="333"/>
        <w:numPr>
          <w:ilvl w:val="0"/>
          <w:numId w:val="0"/>
        </w:numPr>
        <w:ind w:leftChars="0"/>
        <w:jc w:val="center"/>
        <w:rPr>
          <w:color w:val="auto"/>
          <w:highlight w:val="none"/>
        </w:rPr>
      </w:pPr>
      <w:r>
        <w:rPr>
          <w:rFonts w:hint="eastAsia"/>
          <w:color w:val="auto"/>
          <w:highlight w:val="none"/>
          <w:lang w:eastAsia="zh-CN"/>
        </w:rPr>
        <w:t>表</w:t>
      </w:r>
      <w:r>
        <w:rPr>
          <w:rFonts w:hint="eastAsia"/>
          <w:color w:val="auto"/>
          <w:highlight w:val="none"/>
          <w:lang w:val="en-US" w:eastAsia="zh-CN"/>
        </w:rPr>
        <w:t xml:space="preserve">4-1 </w:t>
      </w:r>
      <w:r>
        <w:rPr>
          <w:rFonts w:hint="eastAsia"/>
          <w:color w:val="auto"/>
          <w:highlight w:val="none"/>
        </w:rPr>
        <w:t>渠道过流能力</w:t>
      </w:r>
      <w:r>
        <w:rPr>
          <w:color w:val="auto"/>
          <w:highlight w:val="none"/>
        </w:rPr>
        <w:t>复核</w:t>
      </w:r>
    </w:p>
    <w:tbl>
      <w:tblPr>
        <w:tblStyle w:val="47"/>
        <w:tblW w:w="87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5"/>
        <w:gridCol w:w="1012"/>
        <w:gridCol w:w="1015"/>
        <w:gridCol w:w="1011"/>
        <w:gridCol w:w="1579"/>
        <w:gridCol w:w="1098"/>
        <w:gridCol w:w="941"/>
        <w:gridCol w:w="1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jc w:val="center"/>
        </w:trPr>
        <w:tc>
          <w:tcPr>
            <w:tcW w:w="1035" w:type="dxa"/>
            <w:shd w:val="clear" w:color="auto" w:fill="auto"/>
            <w:vAlign w:val="center"/>
          </w:tcPr>
          <w:p>
            <w:pPr>
              <w:widowControl/>
              <w:spacing w:line="240" w:lineRule="atLeast"/>
              <w:ind w:firstLine="0" w:firstLineChars="0"/>
              <w:jc w:val="center"/>
              <w:rPr>
                <w:color w:val="auto"/>
                <w:sz w:val="21"/>
                <w:szCs w:val="20"/>
                <w:highlight w:val="none"/>
              </w:rPr>
            </w:pPr>
            <w:r>
              <w:rPr>
                <w:rFonts w:hint="eastAsia"/>
                <w:color w:val="auto"/>
                <w:sz w:val="21"/>
                <w:szCs w:val="20"/>
                <w:highlight w:val="none"/>
              </w:rPr>
              <w:t>起始桩号</w:t>
            </w:r>
          </w:p>
        </w:tc>
        <w:tc>
          <w:tcPr>
            <w:tcW w:w="1012" w:type="dxa"/>
            <w:shd w:val="clear" w:color="auto" w:fill="auto"/>
            <w:vAlign w:val="center"/>
          </w:tcPr>
          <w:p>
            <w:pPr>
              <w:widowControl/>
              <w:spacing w:line="240" w:lineRule="atLeast"/>
              <w:ind w:firstLine="0" w:firstLineChars="0"/>
              <w:jc w:val="center"/>
              <w:rPr>
                <w:color w:val="auto"/>
                <w:sz w:val="21"/>
                <w:szCs w:val="20"/>
                <w:highlight w:val="none"/>
              </w:rPr>
            </w:pPr>
            <w:r>
              <w:rPr>
                <w:rFonts w:hint="eastAsia"/>
                <w:color w:val="auto"/>
                <w:sz w:val="21"/>
                <w:szCs w:val="20"/>
                <w:highlight w:val="none"/>
              </w:rPr>
              <w:t>终点</w:t>
            </w:r>
            <w:r>
              <w:rPr>
                <w:color w:val="auto"/>
                <w:sz w:val="21"/>
                <w:szCs w:val="20"/>
                <w:highlight w:val="none"/>
              </w:rPr>
              <w:t>桩号</w:t>
            </w:r>
          </w:p>
        </w:tc>
        <w:tc>
          <w:tcPr>
            <w:tcW w:w="1015" w:type="dxa"/>
            <w:shd w:val="clear" w:color="auto" w:fill="auto"/>
            <w:vAlign w:val="center"/>
          </w:tcPr>
          <w:p>
            <w:pPr>
              <w:widowControl/>
              <w:spacing w:line="240" w:lineRule="atLeast"/>
              <w:ind w:firstLine="0" w:firstLineChars="0"/>
              <w:jc w:val="center"/>
              <w:rPr>
                <w:color w:val="auto"/>
                <w:sz w:val="21"/>
                <w:szCs w:val="20"/>
                <w:highlight w:val="none"/>
              </w:rPr>
            </w:pPr>
            <w:r>
              <w:rPr>
                <w:color w:val="auto"/>
                <w:sz w:val="21"/>
                <w:szCs w:val="20"/>
                <w:highlight w:val="none"/>
              </w:rPr>
              <w:t>集雨面积(k</w:t>
            </w:r>
            <w:r>
              <w:rPr>
                <w:rFonts w:hint="eastAsia"/>
                <w:color w:val="auto"/>
                <w:sz w:val="21"/>
                <w:szCs w:val="20"/>
                <w:highlight w:val="none"/>
                <w:lang w:eastAsia="zh-CN"/>
              </w:rPr>
              <w:t>m²</w:t>
            </w:r>
            <w:r>
              <w:rPr>
                <w:color w:val="auto"/>
                <w:sz w:val="21"/>
                <w:szCs w:val="20"/>
                <w:highlight w:val="none"/>
              </w:rPr>
              <w:t>)</w:t>
            </w:r>
          </w:p>
        </w:tc>
        <w:tc>
          <w:tcPr>
            <w:tcW w:w="1011" w:type="dxa"/>
            <w:shd w:val="clear" w:color="auto" w:fill="auto"/>
            <w:vAlign w:val="center"/>
          </w:tcPr>
          <w:p>
            <w:pPr>
              <w:widowControl/>
              <w:spacing w:line="240" w:lineRule="atLeast"/>
              <w:ind w:firstLine="0" w:firstLineChars="0"/>
              <w:jc w:val="center"/>
              <w:rPr>
                <w:color w:val="auto"/>
                <w:sz w:val="21"/>
                <w:szCs w:val="20"/>
                <w:highlight w:val="none"/>
              </w:rPr>
            </w:pPr>
            <w:r>
              <w:rPr>
                <w:rFonts w:hint="eastAsia"/>
                <w:color w:val="auto"/>
                <w:sz w:val="21"/>
                <w:szCs w:val="20"/>
                <w:highlight w:val="none"/>
              </w:rPr>
              <w:t>特征河长</w:t>
            </w:r>
            <w:r>
              <w:rPr>
                <w:color w:val="auto"/>
                <w:sz w:val="21"/>
                <w:szCs w:val="20"/>
                <w:highlight w:val="none"/>
              </w:rPr>
              <w:t>(m)</w:t>
            </w:r>
          </w:p>
        </w:tc>
        <w:tc>
          <w:tcPr>
            <w:tcW w:w="1579" w:type="dxa"/>
            <w:vAlign w:val="center"/>
          </w:tcPr>
          <w:p>
            <w:pPr>
              <w:widowControl/>
              <w:spacing w:line="240" w:lineRule="atLeast"/>
              <w:ind w:firstLine="0" w:firstLineChars="0"/>
              <w:jc w:val="center"/>
              <w:rPr>
                <w:color w:val="auto"/>
                <w:sz w:val="21"/>
                <w:szCs w:val="20"/>
                <w:highlight w:val="none"/>
              </w:rPr>
            </w:pPr>
            <w:r>
              <w:rPr>
                <w:rFonts w:hint="eastAsia"/>
                <w:color w:val="auto"/>
                <w:sz w:val="21"/>
                <w:szCs w:val="20"/>
                <w:highlight w:val="none"/>
              </w:rPr>
              <w:t>设计</w:t>
            </w:r>
            <w:r>
              <w:rPr>
                <w:color w:val="auto"/>
                <w:sz w:val="21"/>
                <w:szCs w:val="20"/>
                <w:highlight w:val="none"/>
              </w:rPr>
              <w:t>标准</w:t>
            </w:r>
          </w:p>
        </w:tc>
        <w:tc>
          <w:tcPr>
            <w:tcW w:w="1098" w:type="dxa"/>
            <w:vAlign w:val="center"/>
          </w:tcPr>
          <w:p>
            <w:pPr>
              <w:widowControl/>
              <w:spacing w:line="240" w:lineRule="atLeast"/>
              <w:ind w:firstLine="0" w:firstLineChars="0"/>
              <w:jc w:val="center"/>
              <w:rPr>
                <w:color w:val="auto"/>
                <w:sz w:val="21"/>
                <w:szCs w:val="20"/>
                <w:highlight w:val="none"/>
              </w:rPr>
            </w:pPr>
            <w:r>
              <w:rPr>
                <w:color w:val="auto"/>
                <w:sz w:val="21"/>
                <w:szCs w:val="20"/>
                <w:highlight w:val="none"/>
              </w:rPr>
              <w:t>设计洪峰(</w:t>
            </w:r>
            <w:r>
              <w:rPr>
                <w:rFonts w:hint="eastAsia"/>
                <w:color w:val="auto"/>
                <w:sz w:val="21"/>
                <w:szCs w:val="20"/>
                <w:highlight w:val="none"/>
                <w:lang w:eastAsia="zh-CN"/>
              </w:rPr>
              <w:t>m³</w:t>
            </w:r>
            <w:r>
              <w:rPr>
                <w:color w:val="auto"/>
                <w:sz w:val="21"/>
                <w:szCs w:val="20"/>
                <w:highlight w:val="none"/>
              </w:rPr>
              <w:t>/s)</w:t>
            </w:r>
          </w:p>
        </w:tc>
        <w:tc>
          <w:tcPr>
            <w:tcW w:w="941" w:type="dxa"/>
            <w:vAlign w:val="center"/>
          </w:tcPr>
          <w:p>
            <w:pPr>
              <w:widowControl/>
              <w:spacing w:line="240" w:lineRule="atLeast"/>
              <w:ind w:firstLine="0" w:firstLineChars="0"/>
              <w:jc w:val="center"/>
              <w:rPr>
                <w:color w:val="auto"/>
                <w:sz w:val="21"/>
                <w:szCs w:val="20"/>
                <w:highlight w:val="none"/>
              </w:rPr>
            </w:pPr>
            <w:r>
              <w:rPr>
                <w:rFonts w:hint="eastAsia"/>
                <w:color w:val="auto"/>
                <w:sz w:val="21"/>
                <w:szCs w:val="20"/>
                <w:highlight w:val="none"/>
              </w:rPr>
              <w:t>渠宽</w:t>
            </w:r>
            <w:r>
              <w:rPr>
                <w:color w:val="auto"/>
                <w:sz w:val="21"/>
                <w:szCs w:val="20"/>
                <w:highlight w:val="none"/>
              </w:rPr>
              <w:t>(m)</w:t>
            </w:r>
          </w:p>
        </w:tc>
        <w:tc>
          <w:tcPr>
            <w:tcW w:w="1086" w:type="dxa"/>
            <w:shd w:val="clear" w:color="auto" w:fill="auto"/>
            <w:vAlign w:val="center"/>
          </w:tcPr>
          <w:p>
            <w:pPr>
              <w:widowControl/>
              <w:spacing w:line="240" w:lineRule="atLeast"/>
              <w:ind w:firstLine="0" w:firstLineChars="0"/>
              <w:jc w:val="center"/>
              <w:rPr>
                <w:color w:val="auto"/>
                <w:sz w:val="21"/>
                <w:szCs w:val="20"/>
                <w:highlight w:val="none"/>
              </w:rPr>
            </w:pPr>
            <w:r>
              <w:rPr>
                <w:rFonts w:hint="eastAsia"/>
                <w:color w:val="auto"/>
                <w:sz w:val="21"/>
                <w:szCs w:val="20"/>
                <w:highlight w:val="none"/>
              </w:rPr>
              <w:t>过流能力</w:t>
            </w:r>
            <w:r>
              <w:rPr>
                <w:color w:val="auto"/>
                <w:sz w:val="21"/>
                <w:szCs w:val="20"/>
                <w:highlight w:val="none"/>
              </w:rPr>
              <w:t>复核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1035" w:type="dxa"/>
            <w:shd w:val="clear" w:color="auto" w:fill="auto"/>
            <w:vAlign w:val="center"/>
          </w:tcPr>
          <w:p>
            <w:pPr>
              <w:widowControl/>
              <w:spacing w:line="240" w:lineRule="atLeast"/>
              <w:ind w:firstLine="0" w:firstLineChars="0"/>
              <w:jc w:val="center"/>
              <w:rPr>
                <w:rFonts w:hint="eastAsia" w:eastAsia="宋体"/>
                <w:color w:val="auto"/>
                <w:sz w:val="21"/>
                <w:szCs w:val="20"/>
                <w:highlight w:val="none"/>
                <w:lang w:eastAsia="zh-CN"/>
              </w:rPr>
            </w:pPr>
            <w:r>
              <w:rPr>
                <w:rFonts w:hint="eastAsia"/>
                <w:color w:val="auto"/>
                <w:sz w:val="22"/>
                <w:szCs w:val="22"/>
                <w:highlight w:val="none"/>
                <w:lang w:val="en-US" w:eastAsia="zh-CN"/>
              </w:rPr>
              <w:t>0+000</w:t>
            </w:r>
          </w:p>
        </w:tc>
        <w:tc>
          <w:tcPr>
            <w:tcW w:w="1012" w:type="dxa"/>
            <w:shd w:val="clear" w:color="auto" w:fill="auto"/>
            <w:vAlign w:val="center"/>
          </w:tcPr>
          <w:p>
            <w:pPr>
              <w:pStyle w:val="272"/>
              <w:spacing w:line="240" w:lineRule="auto"/>
              <w:ind w:firstLine="0" w:firstLineChars="0"/>
              <w:rPr>
                <w:rFonts w:hint="default" w:eastAsia="宋体"/>
                <w:color w:val="auto"/>
                <w:sz w:val="21"/>
                <w:szCs w:val="20"/>
                <w:highlight w:val="none"/>
                <w:lang w:val="en-US" w:eastAsia="zh-CN"/>
              </w:rPr>
            </w:pPr>
            <w:r>
              <w:rPr>
                <w:rFonts w:hint="eastAsia"/>
                <w:color w:val="auto"/>
                <w:highlight w:val="none"/>
                <w:lang w:val="en-US" w:eastAsia="zh-CN"/>
              </w:rPr>
              <w:t>0+100</w:t>
            </w:r>
          </w:p>
        </w:tc>
        <w:tc>
          <w:tcPr>
            <w:tcW w:w="1015" w:type="dxa"/>
            <w:shd w:val="clear" w:color="auto" w:fill="auto"/>
            <w:vAlign w:val="center"/>
          </w:tcPr>
          <w:p>
            <w:pPr>
              <w:pStyle w:val="272"/>
              <w:spacing w:line="240" w:lineRule="auto"/>
              <w:ind w:firstLine="0" w:firstLineChars="0"/>
              <w:rPr>
                <w:rFonts w:hint="default" w:eastAsia="宋体"/>
                <w:color w:val="auto"/>
                <w:sz w:val="21"/>
                <w:szCs w:val="22"/>
                <w:highlight w:val="none"/>
                <w:lang w:val="en-US" w:eastAsia="zh-CN"/>
              </w:rPr>
            </w:pPr>
            <w:r>
              <w:rPr>
                <w:rFonts w:hint="eastAsia" w:eastAsia="等线"/>
                <w:color w:val="auto"/>
                <w:szCs w:val="22"/>
                <w:highlight w:val="none"/>
                <w:lang w:val="en-US" w:eastAsia="zh-CN"/>
              </w:rPr>
              <w:t>0.17</w:t>
            </w:r>
          </w:p>
        </w:tc>
        <w:tc>
          <w:tcPr>
            <w:tcW w:w="1011" w:type="dxa"/>
            <w:shd w:val="clear" w:color="auto" w:fill="auto"/>
            <w:vAlign w:val="center"/>
          </w:tcPr>
          <w:p>
            <w:pPr>
              <w:widowControl/>
              <w:spacing w:line="240" w:lineRule="atLeast"/>
              <w:ind w:firstLine="0" w:firstLineChars="0"/>
              <w:jc w:val="center"/>
              <w:rPr>
                <w:rFonts w:hint="default" w:eastAsia="宋体"/>
                <w:color w:val="auto"/>
                <w:sz w:val="21"/>
                <w:szCs w:val="20"/>
                <w:highlight w:val="none"/>
                <w:lang w:val="en-US" w:eastAsia="zh-CN"/>
              </w:rPr>
            </w:pPr>
            <w:r>
              <w:rPr>
                <w:rFonts w:hint="eastAsia"/>
                <w:color w:val="auto"/>
                <w:sz w:val="22"/>
                <w:szCs w:val="22"/>
                <w:highlight w:val="none"/>
                <w:lang w:val="en-US" w:eastAsia="zh-CN"/>
              </w:rPr>
              <w:t>100</w:t>
            </w:r>
          </w:p>
        </w:tc>
        <w:tc>
          <w:tcPr>
            <w:tcW w:w="1579" w:type="dxa"/>
            <w:vAlign w:val="center"/>
          </w:tcPr>
          <w:p>
            <w:pPr>
              <w:widowControl/>
              <w:spacing w:line="240" w:lineRule="atLeast"/>
              <w:ind w:firstLine="0" w:firstLineChars="0"/>
              <w:jc w:val="center"/>
              <w:rPr>
                <w:color w:val="auto"/>
                <w:sz w:val="21"/>
                <w:szCs w:val="20"/>
                <w:highlight w:val="none"/>
              </w:rPr>
            </w:pPr>
            <w:r>
              <w:rPr>
                <w:color w:val="auto"/>
                <w:sz w:val="22"/>
                <w:szCs w:val="22"/>
                <w:highlight w:val="none"/>
              </w:rPr>
              <w:t>10</w:t>
            </w:r>
            <w:r>
              <w:rPr>
                <w:rFonts w:hint="eastAsia"/>
                <w:color w:val="auto"/>
                <w:sz w:val="22"/>
                <w:szCs w:val="22"/>
                <w:highlight w:val="none"/>
              </w:rPr>
              <w:t>年一遇</w:t>
            </w:r>
          </w:p>
        </w:tc>
        <w:tc>
          <w:tcPr>
            <w:tcW w:w="1098" w:type="dxa"/>
            <w:vAlign w:val="center"/>
          </w:tcPr>
          <w:p>
            <w:pPr>
              <w:widowControl/>
              <w:spacing w:line="240" w:lineRule="atLeast"/>
              <w:ind w:firstLine="0" w:firstLineChars="0"/>
              <w:jc w:val="center"/>
              <w:rPr>
                <w:rFonts w:hint="default" w:eastAsia="宋体"/>
                <w:color w:val="auto"/>
                <w:sz w:val="21"/>
                <w:szCs w:val="22"/>
                <w:highlight w:val="none"/>
                <w:lang w:val="en-US" w:eastAsia="zh-CN"/>
              </w:rPr>
            </w:pPr>
            <w:r>
              <w:rPr>
                <w:rFonts w:hint="eastAsia"/>
                <w:color w:val="auto"/>
                <w:sz w:val="21"/>
                <w:szCs w:val="22"/>
                <w:highlight w:val="none"/>
                <w:lang w:val="en-US" w:eastAsia="zh-CN"/>
              </w:rPr>
              <w:t>2.21</w:t>
            </w:r>
          </w:p>
        </w:tc>
        <w:tc>
          <w:tcPr>
            <w:tcW w:w="941" w:type="dxa"/>
            <w:vAlign w:val="center"/>
          </w:tcPr>
          <w:p>
            <w:pPr>
              <w:widowControl/>
              <w:spacing w:line="240" w:lineRule="atLeast"/>
              <w:ind w:firstLine="0" w:firstLineChars="0"/>
              <w:jc w:val="center"/>
              <w:rPr>
                <w:rFonts w:hint="eastAsia" w:eastAsia="宋体"/>
                <w:color w:val="auto"/>
                <w:sz w:val="21"/>
                <w:szCs w:val="20"/>
                <w:highlight w:val="none"/>
                <w:lang w:eastAsia="zh-CN"/>
              </w:rPr>
            </w:pPr>
            <w:r>
              <w:rPr>
                <w:rFonts w:hint="eastAsia"/>
                <w:color w:val="auto"/>
                <w:sz w:val="22"/>
                <w:szCs w:val="22"/>
                <w:highlight w:val="none"/>
                <w:lang w:val="en-US" w:eastAsia="zh-CN"/>
              </w:rPr>
              <w:t>2.6</w:t>
            </w:r>
          </w:p>
        </w:tc>
        <w:tc>
          <w:tcPr>
            <w:tcW w:w="1086" w:type="dxa"/>
            <w:shd w:val="clear" w:color="auto" w:fill="auto"/>
            <w:vAlign w:val="center"/>
          </w:tcPr>
          <w:p>
            <w:pPr>
              <w:widowControl/>
              <w:spacing w:line="240" w:lineRule="atLeast"/>
              <w:ind w:firstLine="0" w:firstLineChars="0"/>
              <w:jc w:val="center"/>
              <w:rPr>
                <w:color w:val="auto"/>
                <w:sz w:val="21"/>
                <w:szCs w:val="20"/>
                <w:highlight w:val="none"/>
              </w:rPr>
            </w:pPr>
            <w:r>
              <w:rPr>
                <w:rFonts w:hint="eastAsia"/>
                <w:color w:val="auto"/>
                <w:sz w:val="22"/>
                <w:szCs w:val="22"/>
                <w:highlight w:val="none"/>
              </w:rPr>
              <w:t>满足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35" w:type="dxa"/>
            <w:shd w:val="clear" w:color="auto" w:fill="auto"/>
            <w:vAlign w:val="center"/>
          </w:tcPr>
          <w:p>
            <w:pPr>
              <w:widowControl/>
              <w:spacing w:line="240" w:lineRule="atLeast"/>
              <w:ind w:firstLine="0" w:firstLineChars="0"/>
              <w:jc w:val="center"/>
              <w:rPr>
                <w:rFonts w:hint="default" w:eastAsia="宋体"/>
                <w:color w:val="auto"/>
                <w:sz w:val="21"/>
                <w:szCs w:val="20"/>
                <w:highlight w:val="none"/>
                <w:lang w:val="en-US" w:eastAsia="zh-CN"/>
              </w:rPr>
            </w:pPr>
            <w:r>
              <w:rPr>
                <w:rFonts w:hint="eastAsia"/>
                <w:color w:val="auto"/>
                <w:sz w:val="22"/>
                <w:szCs w:val="22"/>
                <w:highlight w:val="none"/>
                <w:lang w:val="en-US" w:eastAsia="zh-CN"/>
              </w:rPr>
              <w:t>0+100</w:t>
            </w:r>
          </w:p>
        </w:tc>
        <w:tc>
          <w:tcPr>
            <w:tcW w:w="1012" w:type="dxa"/>
            <w:shd w:val="clear" w:color="auto" w:fill="auto"/>
            <w:vAlign w:val="center"/>
          </w:tcPr>
          <w:p>
            <w:pPr>
              <w:pStyle w:val="272"/>
              <w:spacing w:line="240" w:lineRule="auto"/>
              <w:ind w:firstLine="0" w:firstLineChars="0"/>
              <w:rPr>
                <w:rFonts w:hint="eastAsia" w:eastAsia="宋体"/>
                <w:color w:val="auto"/>
                <w:sz w:val="21"/>
                <w:szCs w:val="20"/>
                <w:highlight w:val="none"/>
                <w:lang w:eastAsia="zh-CN"/>
              </w:rPr>
            </w:pPr>
            <w:r>
              <w:rPr>
                <w:rFonts w:hint="eastAsia"/>
                <w:color w:val="auto"/>
                <w:highlight w:val="none"/>
                <w:lang w:val="en-US" w:eastAsia="zh-CN"/>
              </w:rPr>
              <w:t>1+000</w:t>
            </w:r>
          </w:p>
        </w:tc>
        <w:tc>
          <w:tcPr>
            <w:tcW w:w="1015" w:type="dxa"/>
            <w:shd w:val="clear" w:color="auto" w:fill="auto"/>
            <w:vAlign w:val="center"/>
          </w:tcPr>
          <w:p>
            <w:pPr>
              <w:pStyle w:val="272"/>
              <w:spacing w:line="240" w:lineRule="auto"/>
              <w:ind w:firstLine="0" w:firstLineChars="0"/>
              <w:rPr>
                <w:rFonts w:hint="eastAsia" w:eastAsia="宋体"/>
                <w:color w:val="auto"/>
                <w:sz w:val="21"/>
                <w:szCs w:val="22"/>
                <w:highlight w:val="none"/>
                <w:lang w:eastAsia="zh-CN"/>
              </w:rPr>
            </w:pPr>
            <w:r>
              <w:rPr>
                <w:rFonts w:hint="eastAsia" w:eastAsia="等线"/>
                <w:color w:val="auto"/>
                <w:szCs w:val="22"/>
                <w:highlight w:val="none"/>
                <w:lang w:val="en-US" w:eastAsia="zh-CN"/>
              </w:rPr>
              <w:t>0.24</w:t>
            </w:r>
          </w:p>
        </w:tc>
        <w:tc>
          <w:tcPr>
            <w:tcW w:w="1011" w:type="dxa"/>
            <w:shd w:val="clear" w:color="auto" w:fill="auto"/>
            <w:vAlign w:val="center"/>
          </w:tcPr>
          <w:p>
            <w:pPr>
              <w:widowControl/>
              <w:spacing w:line="240" w:lineRule="atLeast"/>
              <w:ind w:firstLine="0" w:firstLineChars="0"/>
              <w:jc w:val="center"/>
              <w:rPr>
                <w:rFonts w:hint="default" w:eastAsia="宋体"/>
                <w:color w:val="auto"/>
                <w:sz w:val="21"/>
                <w:szCs w:val="20"/>
                <w:highlight w:val="none"/>
                <w:lang w:val="en-US" w:eastAsia="zh-CN"/>
              </w:rPr>
            </w:pPr>
            <w:r>
              <w:rPr>
                <w:rFonts w:hint="eastAsia"/>
                <w:color w:val="auto"/>
                <w:sz w:val="21"/>
                <w:szCs w:val="20"/>
                <w:highlight w:val="none"/>
                <w:lang w:val="en-US" w:eastAsia="zh-CN"/>
              </w:rPr>
              <w:t>900</w:t>
            </w:r>
          </w:p>
        </w:tc>
        <w:tc>
          <w:tcPr>
            <w:tcW w:w="1579" w:type="dxa"/>
            <w:vAlign w:val="center"/>
          </w:tcPr>
          <w:p>
            <w:pPr>
              <w:widowControl/>
              <w:spacing w:line="240" w:lineRule="atLeast"/>
              <w:ind w:firstLine="0" w:firstLineChars="0"/>
              <w:jc w:val="center"/>
              <w:rPr>
                <w:color w:val="auto"/>
                <w:sz w:val="21"/>
                <w:szCs w:val="20"/>
                <w:highlight w:val="none"/>
              </w:rPr>
            </w:pPr>
            <w:r>
              <w:rPr>
                <w:color w:val="auto"/>
                <w:sz w:val="22"/>
                <w:szCs w:val="22"/>
                <w:highlight w:val="none"/>
              </w:rPr>
              <w:t>10</w:t>
            </w:r>
            <w:r>
              <w:rPr>
                <w:rFonts w:hint="eastAsia"/>
                <w:color w:val="auto"/>
                <w:sz w:val="22"/>
                <w:szCs w:val="22"/>
                <w:highlight w:val="none"/>
              </w:rPr>
              <w:t>年一遇</w:t>
            </w:r>
          </w:p>
        </w:tc>
        <w:tc>
          <w:tcPr>
            <w:tcW w:w="1098" w:type="dxa"/>
            <w:vAlign w:val="center"/>
          </w:tcPr>
          <w:p>
            <w:pPr>
              <w:widowControl/>
              <w:spacing w:line="240" w:lineRule="atLeast"/>
              <w:ind w:firstLine="0" w:firstLineChars="0"/>
              <w:jc w:val="center"/>
              <w:rPr>
                <w:rFonts w:hint="default" w:eastAsia="宋体"/>
                <w:color w:val="auto"/>
                <w:sz w:val="21"/>
                <w:szCs w:val="22"/>
                <w:highlight w:val="none"/>
                <w:lang w:val="en-US" w:eastAsia="zh-CN"/>
              </w:rPr>
            </w:pPr>
            <w:r>
              <w:rPr>
                <w:rFonts w:hint="eastAsia"/>
                <w:color w:val="auto"/>
                <w:sz w:val="22"/>
                <w:szCs w:val="22"/>
                <w:highlight w:val="none"/>
                <w:lang w:val="en-US" w:eastAsia="zh-CN"/>
              </w:rPr>
              <w:t>3.12</w:t>
            </w:r>
          </w:p>
        </w:tc>
        <w:tc>
          <w:tcPr>
            <w:tcW w:w="941" w:type="dxa"/>
            <w:vAlign w:val="center"/>
          </w:tcPr>
          <w:p>
            <w:pPr>
              <w:widowControl/>
              <w:spacing w:line="240" w:lineRule="atLeast"/>
              <w:ind w:firstLine="0" w:firstLineChars="0"/>
              <w:jc w:val="center"/>
              <w:rPr>
                <w:rFonts w:hint="eastAsia" w:eastAsia="宋体"/>
                <w:color w:val="auto"/>
                <w:sz w:val="21"/>
                <w:szCs w:val="20"/>
                <w:highlight w:val="none"/>
                <w:lang w:val="en-US" w:eastAsia="zh-CN"/>
              </w:rPr>
            </w:pPr>
            <w:r>
              <w:rPr>
                <w:rFonts w:hint="eastAsia"/>
                <w:color w:val="auto"/>
                <w:sz w:val="21"/>
                <w:szCs w:val="20"/>
                <w:highlight w:val="none"/>
                <w:lang w:val="en-US" w:eastAsia="zh-CN"/>
              </w:rPr>
              <w:t>2.6</w:t>
            </w:r>
          </w:p>
        </w:tc>
        <w:tc>
          <w:tcPr>
            <w:tcW w:w="1086" w:type="dxa"/>
            <w:shd w:val="clear" w:color="auto" w:fill="auto"/>
            <w:vAlign w:val="center"/>
          </w:tcPr>
          <w:p>
            <w:pPr>
              <w:widowControl/>
              <w:spacing w:line="240" w:lineRule="atLeast"/>
              <w:ind w:firstLine="0" w:firstLineChars="0"/>
              <w:jc w:val="center"/>
              <w:rPr>
                <w:color w:val="auto"/>
                <w:sz w:val="21"/>
                <w:szCs w:val="20"/>
                <w:highlight w:val="none"/>
              </w:rPr>
            </w:pPr>
            <w:r>
              <w:rPr>
                <w:rFonts w:hint="eastAsia"/>
                <w:color w:val="auto"/>
                <w:sz w:val="22"/>
                <w:szCs w:val="22"/>
                <w:highlight w:val="none"/>
              </w:rPr>
              <w:t>满足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35" w:type="dxa"/>
            <w:shd w:val="clear" w:color="auto" w:fill="auto"/>
            <w:vAlign w:val="center"/>
          </w:tcPr>
          <w:p>
            <w:pPr>
              <w:widowControl/>
              <w:spacing w:line="240" w:lineRule="atLeast"/>
              <w:ind w:firstLine="0" w:firstLineChars="0"/>
              <w:jc w:val="center"/>
              <w:rPr>
                <w:rFonts w:hint="default"/>
                <w:color w:val="auto"/>
                <w:sz w:val="22"/>
                <w:szCs w:val="22"/>
                <w:highlight w:val="none"/>
                <w:lang w:val="en-US" w:eastAsia="zh-CN"/>
              </w:rPr>
            </w:pPr>
            <w:r>
              <w:rPr>
                <w:rFonts w:hint="eastAsia"/>
                <w:color w:val="auto"/>
                <w:sz w:val="22"/>
                <w:szCs w:val="22"/>
                <w:highlight w:val="none"/>
                <w:lang w:val="en-US" w:eastAsia="zh-CN"/>
              </w:rPr>
              <w:t>1+000</w:t>
            </w:r>
          </w:p>
        </w:tc>
        <w:tc>
          <w:tcPr>
            <w:tcW w:w="1012" w:type="dxa"/>
            <w:shd w:val="clear" w:color="auto" w:fill="auto"/>
            <w:vAlign w:val="center"/>
          </w:tcPr>
          <w:p>
            <w:pPr>
              <w:widowControl/>
              <w:spacing w:line="240" w:lineRule="atLeast"/>
              <w:ind w:firstLine="0" w:firstLineChars="0"/>
              <w:jc w:val="center"/>
              <w:rPr>
                <w:rFonts w:hint="default"/>
                <w:color w:val="auto"/>
                <w:sz w:val="22"/>
                <w:szCs w:val="22"/>
                <w:highlight w:val="none"/>
                <w:lang w:val="en-US" w:eastAsia="zh-CN"/>
              </w:rPr>
            </w:pPr>
            <w:r>
              <w:rPr>
                <w:rFonts w:hint="eastAsia"/>
                <w:color w:val="auto"/>
                <w:sz w:val="22"/>
                <w:szCs w:val="22"/>
                <w:highlight w:val="none"/>
                <w:lang w:val="en-US" w:eastAsia="zh-CN"/>
              </w:rPr>
              <w:t>1+207</w:t>
            </w:r>
          </w:p>
        </w:tc>
        <w:tc>
          <w:tcPr>
            <w:tcW w:w="1015" w:type="dxa"/>
            <w:shd w:val="clear" w:color="auto" w:fill="auto"/>
            <w:vAlign w:val="center"/>
          </w:tcPr>
          <w:p>
            <w:pPr>
              <w:widowControl/>
              <w:spacing w:line="240" w:lineRule="atLeast"/>
              <w:ind w:firstLine="0" w:firstLineChars="0"/>
              <w:jc w:val="center"/>
              <w:rPr>
                <w:rFonts w:hint="default" w:eastAsia="宋体"/>
                <w:color w:val="auto"/>
                <w:sz w:val="22"/>
                <w:szCs w:val="22"/>
                <w:highlight w:val="none"/>
                <w:lang w:val="en-US" w:eastAsia="zh-CN"/>
              </w:rPr>
            </w:pPr>
            <w:r>
              <w:rPr>
                <w:rFonts w:hint="eastAsia"/>
                <w:color w:val="auto"/>
                <w:sz w:val="22"/>
                <w:szCs w:val="22"/>
                <w:highlight w:val="none"/>
                <w:lang w:val="en-US" w:eastAsia="zh-CN"/>
              </w:rPr>
              <w:t>0.12</w:t>
            </w:r>
          </w:p>
        </w:tc>
        <w:tc>
          <w:tcPr>
            <w:tcW w:w="1011" w:type="dxa"/>
            <w:shd w:val="clear" w:color="auto" w:fill="auto"/>
            <w:vAlign w:val="center"/>
          </w:tcPr>
          <w:p>
            <w:pPr>
              <w:widowControl/>
              <w:spacing w:line="240" w:lineRule="atLeast"/>
              <w:ind w:firstLine="0" w:firstLineChars="0"/>
              <w:jc w:val="center"/>
              <w:rPr>
                <w:rFonts w:hint="default"/>
                <w:color w:val="auto"/>
                <w:sz w:val="21"/>
                <w:szCs w:val="20"/>
                <w:highlight w:val="none"/>
                <w:lang w:val="en-US" w:eastAsia="zh-CN"/>
              </w:rPr>
            </w:pPr>
            <w:r>
              <w:rPr>
                <w:rFonts w:hint="eastAsia"/>
                <w:color w:val="auto"/>
                <w:sz w:val="21"/>
                <w:szCs w:val="20"/>
                <w:highlight w:val="none"/>
                <w:lang w:val="en-US" w:eastAsia="zh-CN"/>
              </w:rPr>
              <w:t>207</w:t>
            </w:r>
          </w:p>
        </w:tc>
        <w:tc>
          <w:tcPr>
            <w:tcW w:w="1579" w:type="dxa"/>
            <w:vAlign w:val="center"/>
          </w:tcPr>
          <w:p>
            <w:pPr>
              <w:widowControl/>
              <w:spacing w:line="240" w:lineRule="atLeast"/>
              <w:ind w:firstLine="0" w:firstLineChars="0"/>
              <w:jc w:val="center"/>
              <w:rPr>
                <w:rFonts w:hint="eastAsia" w:eastAsia="宋体"/>
                <w:color w:val="auto"/>
                <w:sz w:val="22"/>
                <w:szCs w:val="22"/>
                <w:highlight w:val="none"/>
                <w:lang w:val="en-US" w:eastAsia="zh-CN"/>
              </w:rPr>
            </w:pPr>
            <w:r>
              <w:rPr>
                <w:rFonts w:hint="eastAsia"/>
                <w:color w:val="auto"/>
                <w:sz w:val="22"/>
                <w:szCs w:val="22"/>
                <w:highlight w:val="none"/>
                <w:lang w:val="en-US" w:eastAsia="zh-CN"/>
              </w:rPr>
              <w:t>10年一遇</w:t>
            </w:r>
          </w:p>
        </w:tc>
        <w:tc>
          <w:tcPr>
            <w:tcW w:w="1098" w:type="dxa"/>
            <w:vAlign w:val="center"/>
          </w:tcPr>
          <w:p>
            <w:pPr>
              <w:widowControl/>
              <w:spacing w:line="240" w:lineRule="atLeast"/>
              <w:ind w:firstLine="0" w:firstLineChars="0"/>
              <w:jc w:val="center"/>
              <w:rPr>
                <w:rFonts w:hint="default" w:eastAsia="宋体"/>
                <w:color w:val="auto"/>
                <w:sz w:val="22"/>
                <w:szCs w:val="22"/>
                <w:highlight w:val="none"/>
                <w:lang w:val="en-US" w:eastAsia="zh-CN"/>
              </w:rPr>
            </w:pPr>
            <w:r>
              <w:rPr>
                <w:rFonts w:hint="eastAsia"/>
                <w:color w:val="auto"/>
                <w:sz w:val="22"/>
                <w:szCs w:val="22"/>
                <w:highlight w:val="none"/>
                <w:lang w:val="en-US" w:eastAsia="zh-CN"/>
              </w:rPr>
              <w:t>1.52</w:t>
            </w:r>
          </w:p>
        </w:tc>
        <w:tc>
          <w:tcPr>
            <w:tcW w:w="941" w:type="dxa"/>
            <w:vAlign w:val="center"/>
          </w:tcPr>
          <w:p>
            <w:pPr>
              <w:widowControl/>
              <w:spacing w:line="240" w:lineRule="atLeast"/>
              <w:ind w:firstLine="0" w:firstLineChars="0"/>
              <w:jc w:val="center"/>
              <w:rPr>
                <w:rFonts w:hint="eastAsia"/>
                <w:color w:val="auto"/>
                <w:sz w:val="21"/>
                <w:szCs w:val="20"/>
                <w:highlight w:val="none"/>
                <w:lang w:val="en-US" w:eastAsia="zh-CN"/>
              </w:rPr>
            </w:pPr>
            <w:r>
              <w:rPr>
                <w:rFonts w:hint="eastAsia"/>
                <w:color w:val="auto"/>
                <w:sz w:val="21"/>
                <w:szCs w:val="20"/>
                <w:highlight w:val="none"/>
                <w:lang w:val="en-US" w:eastAsia="zh-CN"/>
              </w:rPr>
              <w:t>2.6</w:t>
            </w:r>
          </w:p>
        </w:tc>
        <w:tc>
          <w:tcPr>
            <w:tcW w:w="1086" w:type="dxa"/>
            <w:shd w:val="clear" w:color="auto" w:fill="auto"/>
            <w:vAlign w:val="center"/>
          </w:tcPr>
          <w:p>
            <w:pPr>
              <w:widowControl/>
              <w:spacing w:line="240" w:lineRule="atLeast"/>
              <w:ind w:firstLine="0" w:firstLineChars="0"/>
              <w:jc w:val="center"/>
              <w:rPr>
                <w:rFonts w:hint="eastAsia" w:eastAsia="宋体"/>
                <w:color w:val="auto"/>
                <w:sz w:val="22"/>
                <w:szCs w:val="22"/>
                <w:highlight w:val="none"/>
                <w:lang w:eastAsia="zh-CN"/>
              </w:rPr>
            </w:pPr>
            <w:r>
              <w:rPr>
                <w:rFonts w:hint="eastAsia"/>
                <w:color w:val="auto"/>
                <w:sz w:val="22"/>
                <w:szCs w:val="22"/>
                <w:highlight w:val="none"/>
                <w:lang w:eastAsia="zh-CN"/>
              </w:rPr>
              <w:t>满足</w:t>
            </w:r>
          </w:p>
        </w:tc>
      </w:tr>
    </w:tbl>
    <w:p>
      <w:pPr>
        <w:pStyle w:val="333"/>
        <w:numPr>
          <w:ilvl w:val="0"/>
          <w:numId w:val="0"/>
        </w:numPr>
        <w:ind w:leftChars="0"/>
        <w:jc w:val="center"/>
        <w:rPr>
          <w:color w:val="auto"/>
          <w:highlight w:val="none"/>
        </w:rPr>
      </w:pPr>
    </w:p>
    <w:p>
      <w:pPr>
        <w:pStyle w:val="333"/>
        <w:numPr>
          <w:ilvl w:val="0"/>
          <w:numId w:val="0"/>
        </w:numPr>
        <w:ind w:leftChars="0"/>
        <w:jc w:val="center"/>
        <w:rPr>
          <w:rFonts w:hint="eastAsia"/>
          <w:color w:val="auto"/>
          <w:highlight w:val="none"/>
          <w:lang w:eastAsia="zh-CN"/>
        </w:rPr>
      </w:pPr>
    </w:p>
    <w:p>
      <w:pPr>
        <w:pStyle w:val="333"/>
        <w:numPr>
          <w:ilvl w:val="0"/>
          <w:numId w:val="0"/>
        </w:numPr>
        <w:ind w:leftChars="0"/>
        <w:jc w:val="center"/>
        <w:rPr>
          <w:rFonts w:hint="eastAsia"/>
          <w:color w:val="auto"/>
          <w:highlight w:val="none"/>
          <w:lang w:eastAsia="zh-CN"/>
        </w:rPr>
      </w:pPr>
    </w:p>
    <w:p>
      <w:pPr>
        <w:pStyle w:val="333"/>
        <w:numPr>
          <w:ilvl w:val="0"/>
          <w:numId w:val="0"/>
        </w:numPr>
        <w:ind w:leftChars="0"/>
        <w:jc w:val="center"/>
        <w:rPr>
          <w:rFonts w:hint="eastAsia"/>
          <w:color w:val="auto"/>
          <w:highlight w:val="none"/>
          <w:lang w:eastAsia="zh-CN"/>
        </w:rPr>
      </w:pPr>
    </w:p>
    <w:p>
      <w:pPr>
        <w:pStyle w:val="333"/>
        <w:numPr>
          <w:ilvl w:val="0"/>
          <w:numId w:val="0"/>
        </w:numPr>
        <w:ind w:leftChars="0"/>
        <w:jc w:val="center"/>
        <w:rPr>
          <w:rFonts w:hint="eastAsia"/>
          <w:color w:val="auto"/>
          <w:highlight w:val="none"/>
          <w:lang w:eastAsia="zh-CN"/>
        </w:rPr>
      </w:pPr>
    </w:p>
    <w:p>
      <w:pPr>
        <w:pStyle w:val="333"/>
        <w:numPr>
          <w:ilvl w:val="0"/>
          <w:numId w:val="0"/>
        </w:numPr>
        <w:ind w:leftChars="0"/>
        <w:jc w:val="center"/>
        <w:rPr>
          <w:rFonts w:hint="eastAsia"/>
          <w:color w:val="auto"/>
          <w:highlight w:val="none"/>
          <w:lang w:eastAsia="zh-CN"/>
        </w:rPr>
      </w:pPr>
    </w:p>
    <w:p>
      <w:pPr>
        <w:pStyle w:val="333"/>
        <w:numPr>
          <w:ilvl w:val="0"/>
          <w:numId w:val="0"/>
        </w:numPr>
        <w:ind w:leftChars="0"/>
        <w:jc w:val="center"/>
        <w:rPr>
          <w:rFonts w:hint="eastAsia"/>
          <w:color w:val="auto"/>
          <w:highlight w:val="none"/>
          <w:lang w:eastAsia="zh-CN"/>
        </w:rPr>
      </w:pPr>
    </w:p>
    <w:p>
      <w:pPr>
        <w:pStyle w:val="333"/>
        <w:numPr>
          <w:ilvl w:val="0"/>
          <w:numId w:val="0"/>
        </w:numPr>
        <w:ind w:leftChars="0"/>
        <w:jc w:val="center"/>
        <w:rPr>
          <w:rFonts w:hint="eastAsia"/>
          <w:color w:val="auto"/>
          <w:highlight w:val="none"/>
        </w:rPr>
      </w:pPr>
      <w:r>
        <w:rPr>
          <w:rFonts w:hint="eastAsia"/>
          <w:color w:val="auto"/>
          <w:highlight w:val="none"/>
          <w:lang w:eastAsia="zh-CN"/>
        </w:rPr>
        <w:t>表</w:t>
      </w:r>
      <w:r>
        <w:rPr>
          <w:rFonts w:hint="eastAsia"/>
          <w:color w:val="auto"/>
          <w:highlight w:val="none"/>
          <w:lang w:val="en-US" w:eastAsia="zh-CN"/>
        </w:rPr>
        <w:t xml:space="preserve">4-2 </w:t>
      </w:r>
      <w:r>
        <w:rPr>
          <w:rFonts w:hint="eastAsia"/>
          <w:color w:val="auto"/>
          <w:highlight w:val="none"/>
        </w:rPr>
        <w:t>交叉建筑物过流能力复核</w:t>
      </w:r>
    </w:p>
    <w:tbl>
      <w:tblPr>
        <w:tblStyle w:val="47"/>
        <w:tblW w:w="87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02"/>
        <w:gridCol w:w="1014"/>
        <w:gridCol w:w="982"/>
        <w:gridCol w:w="978"/>
        <w:gridCol w:w="1117"/>
        <w:gridCol w:w="1117"/>
        <w:gridCol w:w="835"/>
        <w:gridCol w:w="8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jc w:val="center"/>
        </w:trPr>
        <w:tc>
          <w:tcPr>
            <w:tcW w:w="1902" w:type="dxa"/>
            <w:shd w:val="clear" w:color="auto" w:fill="auto"/>
            <w:vAlign w:val="center"/>
          </w:tcPr>
          <w:p>
            <w:pPr>
              <w:pStyle w:val="272"/>
              <w:spacing w:line="240" w:lineRule="auto"/>
              <w:rPr>
                <w:color w:val="auto"/>
                <w:highlight w:val="none"/>
              </w:rPr>
            </w:pPr>
            <w:r>
              <w:rPr>
                <w:color w:val="auto"/>
                <w:highlight w:val="none"/>
              </w:rPr>
              <w:t>水闸名称</w:t>
            </w:r>
          </w:p>
        </w:tc>
        <w:tc>
          <w:tcPr>
            <w:tcW w:w="1014" w:type="dxa"/>
            <w:shd w:val="clear" w:color="auto" w:fill="auto"/>
            <w:vAlign w:val="center"/>
          </w:tcPr>
          <w:p>
            <w:pPr>
              <w:pStyle w:val="272"/>
              <w:spacing w:line="240" w:lineRule="auto"/>
              <w:rPr>
                <w:color w:val="auto"/>
                <w:highlight w:val="none"/>
              </w:rPr>
            </w:pPr>
            <w:r>
              <w:rPr>
                <w:color w:val="auto"/>
                <w:highlight w:val="none"/>
              </w:rPr>
              <w:t>所在桩号</w:t>
            </w:r>
          </w:p>
        </w:tc>
        <w:tc>
          <w:tcPr>
            <w:tcW w:w="982" w:type="dxa"/>
            <w:shd w:val="clear" w:color="auto" w:fill="auto"/>
            <w:vAlign w:val="center"/>
          </w:tcPr>
          <w:p>
            <w:pPr>
              <w:pStyle w:val="272"/>
              <w:spacing w:line="240" w:lineRule="auto"/>
              <w:rPr>
                <w:color w:val="auto"/>
                <w:highlight w:val="none"/>
              </w:rPr>
            </w:pPr>
            <w:r>
              <w:rPr>
                <w:color w:val="auto"/>
                <w:highlight w:val="none"/>
              </w:rPr>
              <w:t>集雨面积</w:t>
            </w:r>
            <w:r>
              <w:rPr>
                <w:rFonts w:hint="eastAsia"/>
                <w:color w:val="auto"/>
                <w:highlight w:val="none"/>
              </w:rPr>
              <w:t>(</w:t>
            </w:r>
            <w:r>
              <w:rPr>
                <w:color w:val="auto"/>
                <w:highlight w:val="none"/>
              </w:rPr>
              <w:t>k</w:t>
            </w:r>
            <w:r>
              <w:rPr>
                <w:rFonts w:hint="eastAsia"/>
                <w:color w:val="auto"/>
                <w:highlight w:val="none"/>
                <w:lang w:eastAsia="zh-CN"/>
              </w:rPr>
              <w:t>m²</w:t>
            </w:r>
            <w:r>
              <w:rPr>
                <w:color w:val="auto"/>
                <w:highlight w:val="none"/>
              </w:rPr>
              <w:t>)</w:t>
            </w:r>
          </w:p>
        </w:tc>
        <w:tc>
          <w:tcPr>
            <w:tcW w:w="978" w:type="dxa"/>
            <w:shd w:val="clear" w:color="auto" w:fill="auto"/>
            <w:vAlign w:val="center"/>
          </w:tcPr>
          <w:p>
            <w:pPr>
              <w:pStyle w:val="272"/>
              <w:spacing w:line="240" w:lineRule="auto"/>
              <w:rPr>
                <w:color w:val="auto"/>
                <w:highlight w:val="none"/>
              </w:rPr>
            </w:pPr>
            <w:r>
              <w:rPr>
                <w:rFonts w:hint="eastAsia"/>
                <w:color w:val="auto"/>
                <w:highlight w:val="none"/>
              </w:rPr>
              <w:t>特征河长(</w:t>
            </w:r>
            <w:r>
              <w:rPr>
                <w:color w:val="auto"/>
                <w:highlight w:val="none"/>
              </w:rPr>
              <w:t>m)</w:t>
            </w:r>
          </w:p>
        </w:tc>
        <w:tc>
          <w:tcPr>
            <w:tcW w:w="1117" w:type="dxa"/>
            <w:vAlign w:val="center"/>
          </w:tcPr>
          <w:p>
            <w:pPr>
              <w:pStyle w:val="272"/>
              <w:spacing w:line="240" w:lineRule="auto"/>
              <w:rPr>
                <w:color w:val="auto"/>
                <w:highlight w:val="none"/>
              </w:rPr>
            </w:pPr>
            <w:r>
              <w:rPr>
                <w:rFonts w:hint="eastAsia"/>
                <w:color w:val="auto"/>
                <w:highlight w:val="none"/>
              </w:rPr>
              <w:t>设计</w:t>
            </w:r>
            <w:r>
              <w:rPr>
                <w:color w:val="auto"/>
                <w:highlight w:val="none"/>
              </w:rPr>
              <w:t>标准</w:t>
            </w:r>
          </w:p>
        </w:tc>
        <w:tc>
          <w:tcPr>
            <w:tcW w:w="1117" w:type="dxa"/>
            <w:vAlign w:val="center"/>
          </w:tcPr>
          <w:p>
            <w:pPr>
              <w:pStyle w:val="272"/>
              <w:spacing w:line="240" w:lineRule="auto"/>
              <w:rPr>
                <w:color w:val="auto"/>
                <w:highlight w:val="none"/>
              </w:rPr>
            </w:pPr>
            <w:r>
              <w:rPr>
                <w:color w:val="auto"/>
                <w:highlight w:val="none"/>
              </w:rPr>
              <w:t>设计洪峰</w:t>
            </w:r>
            <w:r>
              <w:rPr>
                <w:rFonts w:hint="eastAsia"/>
                <w:color w:val="auto"/>
                <w:highlight w:val="none"/>
              </w:rPr>
              <w:t>(</w:t>
            </w:r>
            <w:r>
              <w:rPr>
                <w:rFonts w:hint="eastAsia"/>
                <w:color w:val="auto"/>
                <w:highlight w:val="none"/>
                <w:lang w:eastAsia="zh-CN"/>
              </w:rPr>
              <w:t>m³</w:t>
            </w:r>
            <w:r>
              <w:rPr>
                <w:color w:val="auto"/>
                <w:highlight w:val="none"/>
              </w:rPr>
              <w:t>/s)</w:t>
            </w:r>
          </w:p>
        </w:tc>
        <w:tc>
          <w:tcPr>
            <w:tcW w:w="835" w:type="dxa"/>
            <w:vAlign w:val="center"/>
          </w:tcPr>
          <w:p>
            <w:pPr>
              <w:pStyle w:val="272"/>
              <w:spacing w:line="240" w:lineRule="auto"/>
              <w:rPr>
                <w:color w:val="auto"/>
                <w:highlight w:val="none"/>
              </w:rPr>
            </w:pPr>
            <w:r>
              <w:rPr>
                <w:rFonts w:hint="eastAsia"/>
                <w:color w:val="auto"/>
                <w:highlight w:val="none"/>
              </w:rPr>
              <w:t>净宽(</w:t>
            </w:r>
            <w:r>
              <w:rPr>
                <w:color w:val="auto"/>
                <w:highlight w:val="none"/>
              </w:rPr>
              <w:t>m)</w:t>
            </w:r>
          </w:p>
        </w:tc>
        <w:tc>
          <w:tcPr>
            <w:tcW w:w="832" w:type="dxa"/>
            <w:shd w:val="clear" w:color="auto" w:fill="auto"/>
            <w:vAlign w:val="center"/>
          </w:tcPr>
          <w:p>
            <w:pPr>
              <w:pStyle w:val="272"/>
              <w:spacing w:line="240" w:lineRule="auto"/>
              <w:rPr>
                <w:color w:val="auto"/>
                <w:highlight w:val="none"/>
              </w:rPr>
            </w:pPr>
            <w:r>
              <w:rPr>
                <w:rFonts w:hint="eastAsia"/>
                <w:color w:val="auto"/>
                <w:highlight w:val="none"/>
              </w:rPr>
              <w:t>过流能力</w:t>
            </w:r>
            <w:r>
              <w:rPr>
                <w:color w:val="auto"/>
                <w:highlight w:val="none"/>
              </w:rPr>
              <w:t>复核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902" w:type="dxa"/>
            <w:shd w:val="clear" w:color="auto" w:fill="auto"/>
            <w:vAlign w:val="center"/>
          </w:tcPr>
          <w:p>
            <w:pPr>
              <w:pStyle w:val="272"/>
              <w:spacing w:line="240" w:lineRule="auto"/>
              <w:ind w:firstLine="0" w:firstLineChars="0"/>
              <w:rPr>
                <w:color w:val="auto"/>
                <w:highlight w:val="none"/>
              </w:rPr>
            </w:pPr>
            <w:r>
              <w:rPr>
                <w:rFonts w:hint="eastAsia"/>
                <w:color w:val="auto"/>
                <w:highlight w:val="none"/>
                <w:lang w:val="en-US" w:eastAsia="zh-CN"/>
              </w:rPr>
              <w:t>1#</w:t>
            </w:r>
            <w:r>
              <w:rPr>
                <w:color w:val="auto"/>
                <w:highlight w:val="none"/>
              </w:rPr>
              <w:t>泄洪闸</w:t>
            </w:r>
          </w:p>
        </w:tc>
        <w:tc>
          <w:tcPr>
            <w:tcW w:w="1014" w:type="dxa"/>
            <w:shd w:val="clear" w:color="auto" w:fill="auto"/>
            <w:vAlign w:val="center"/>
          </w:tcPr>
          <w:p>
            <w:pPr>
              <w:pStyle w:val="272"/>
              <w:spacing w:line="240" w:lineRule="auto"/>
              <w:ind w:firstLine="0" w:firstLineChars="0"/>
              <w:rPr>
                <w:color w:val="auto"/>
                <w:highlight w:val="none"/>
              </w:rPr>
            </w:pPr>
            <w:r>
              <w:rPr>
                <w:rFonts w:hint="eastAsia"/>
                <w:color w:val="auto"/>
                <w:highlight w:val="none"/>
                <w:lang w:val="en-US" w:eastAsia="zh-CN"/>
              </w:rPr>
              <w:t>0+005</w:t>
            </w:r>
          </w:p>
        </w:tc>
        <w:tc>
          <w:tcPr>
            <w:tcW w:w="982" w:type="dxa"/>
            <w:shd w:val="clear" w:color="auto" w:fill="auto"/>
            <w:vAlign w:val="center"/>
          </w:tcPr>
          <w:p>
            <w:pPr>
              <w:pStyle w:val="272"/>
              <w:spacing w:line="240" w:lineRule="auto"/>
              <w:ind w:firstLine="0" w:firstLineChars="0"/>
              <w:rPr>
                <w:rFonts w:hint="default" w:eastAsia="等线"/>
                <w:color w:val="auto"/>
                <w:szCs w:val="22"/>
                <w:highlight w:val="none"/>
                <w:lang w:val="en-US"/>
              </w:rPr>
            </w:pPr>
            <w:r>
              <w:rPr>
                <w:rFonts w:hint="eastAsia" w:eastAsia="等线"/>
                <w:color w:val="auto"/>
                <w:szCs w:val="22"/>
                <w:highlight w:val="none"/>
                <w:lang w:val="en-US" w:eastAsia="zh-CN"/>
              </w:rPr>
              <w:t>0.27</w:t>
            </w:r>
          </w:p>
        </w:tc>
        <w:tc>
          <w:tcPr>
            <w:tcW w:w="978" w:type="dxa"/>
            <w:shd w:val="clear" w:color="auto" w:fill="auto"/>
            <w:vAlign w:val="center"/>
          </w:tcPr>
          <w:p>
            <w:pPr>
              <w:widowControl/>
              <w:spacing w:line="240" w:lineRule="atLeast"/>
              <w:ind w:firstLine="0" w:firstLineChars="0"/>
              <w:jc w:val="center"/>
              <w:rPr>
                <w:color w:val="auto"/>
                <w:highlight w:val="none"/>
              </w:rPr>
            </w:pPr>
            <w:r>
              <w:rPr>
                <w:rFonts w:hint="eastAsia"/>
                <w:color w:val="auto"/>
                <w:sz w:val="22"/>
                <w:szCs w:val="22"/>
                <w:highlight w:val="none"/>
                <w:lang w:val="en-US" w:eastAsia="zh-CN"/>
              </w:rPr>
              <w:t>610</w:t>
            </w:r>
          </w:p>
        </w:tc>
        <w:tc>
          <w:tcPr>
            <w:tcW w:w="1117" w:type="dxa"/>
            <w:vAlign w:val="center"/>
          </w:tcPr>
          <w:p>
            <w:pPr>
              <w:pStyle w:val="272"/>
              <w:spacing w:line="240" w:lineRule="auto"/>
              <w:ind w:firstLine="0" w:firstLineChars="0"/>
              <w:rPr>
                <w:color w:val="auto"/>
                <w:highlight w:val="none"/>
              </w:rPr>
            </w:pPr>
            <w:r>
              <w:rPr>
                <w:color w:val="auto"/>
                <w:highlight w:val="none"/>
              </w:rPr>
              <w:t>10年一遇</w:t>
            </w:r>
          </w:p>
        </w:tc>
        <w:tc>
          <w:tcPr>
            <w:tcW w:w="1117" w:type="dxa"/>
            <w:vAlign w:val="center"/>
          </w:tcPr>
          <w:p>
            <w:pPr>
              <w:pStyle w:val="272"/>
              <w:spacing w:line="240" w:lineRule="auto"/>
              <w:ind w:firstLine="0" w:firstLineChars="0"/>
              <w:rPr>
                <w:rFonts w:hint="default" w:eastAsia="等线"/>
                <w:color w:val="auto"/>
                <w:szCs w:val="22"/>
                <w:highlight w:val="none"/>
                <w:lang w:val="en-US"/>
              </w:rPr>
            </w:pPr>
            <w:r>
              <w:rPr>
                <w:rFonts w:hint="eastAsia" w:eastAsia="等线"/>
                <w:color w:val="auto"/>
                <w:szCs w:val="22"/>
                <w:highlight w:val="none"/>
                <w:lang w:val="en-US" w:eastAsia="zh-CN"/>
              </w:rPr>
              <w:t>3.64</w:t>
            </w:r>
          </w:p>
        </w:tc>
        <w:tc>
          <w:tcPr>
            <w:tcW w:w="835" w:type="dxa"/>
            <w:vAlign w:val="center"/>
          </w:tcPr>
          <w:p>
            <w:pPr>
              <w:pStyle w:val="272"/>
              <w:spacing w:line="240" w:lineRule="auto"/>
              <w:rPr>
                <w:rFonts w:hint="default" w:eastAsia="宋体"/>
                <w:color w:val="auto"/>
                <w:highlight w:val="none"/>
                <w:lang w:val="en-US" w:eastAsia="zh-CN"/>
              </w:rPr>
            </w:pPr>
            <w:r>
              <w:rPr>
                <w:rFonts w:hint="eastAsia"/>
                <w:color w:val="auto"/>
                <w:highlight w:val="none"/>
                <w:lang w:val="en-US" w:eastAsia="zh-CN"/>
              </w:rPr>
              <w:t>2.0</w:t>
            </w:r>
          </w:p>
        </w:tc>
        <w:tc>
          <w:tcPr>
            <w:tcW w:w="832" w:type="dxa"/>
            <w:shd w:val="clear" w:color="auto" w:fill="auto"/>
            <w:vAlign w:val="center"/>
          </w:tcPr>
          <w:p>
            <w:pPr>
              <w:pStyle w:val="272"/>
              <w:spacing w:line="240" w:lineRule="auto"/>
              <w:rPr>
                <w:color w:val="auto"/>
                <w:highlight w:val="none"/>
              </w:rPr>
            </w:pPr>
            <w:r>
              <w:rPr>
                <w:rFonts w:hint="eastAsia"/>
                <w:color w:val="auto"/>
                <w:highlight w:val="none"/>
              </w:rPr>
              <w:t>满足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902" w:type="dxa"/>
            <w:shd w:val="clear" w:color="auto" w:fill="auto"/>
            <w:vAlign w:val="center"/>
          </w:tcPr>
          <w:p>
            <w:pPr>
              <w:pStyle w:val="272"/>
              <w:spacing w:line="240" w:lineRule="auto"/>
              <w:ind w:firstLine="0" w:firstLineChars="0"/>
              <w:rPr>
                <w:color w:val="auto"/>
                <w:highlight w:val="none"/>
              </w:rPr>
            </w:pPr>
            <w:r>
              <w:rPr>
                <w:rFonts w:hint="eastAsia"/>
                <w:color w:val="auto"/>
                <w:highlight w:val="none"/>
                <w:lang w:val="en-US" w:eastAsia="zh-CN"/>
              </w:rPr>
              <w:t>2#</w:t>
            </w:r>
            <w:r>
              <w:rPr>
                <w:color w:val="auto"/>
                <w:highlight w:val="none"/>
              </w:rPr>
              <w:t>泄洪闸</w:t>
            </w:r>
          </w:p>
        </w:tc>
        <w:tc>
          <w:tcPr>
            <w:tcW w:w="1014" w:type="dxa"/>
            <w:shd w:val="clear" w:color="auto" w:fill="auto"/>
            <w:vAlign w:val="center"/>
          </w:tcPr>
          <w:p>
            <w:pPr>
              <w:pStyle w:val="272"/>
              <w:spacing w:line="240" w:lineRule="auto"/>
              <w:ind w:firstLine="0" w:firstLineChars="0"/>
              <w:rPr>
                <w:color w:val="auto"/>
                <w:highlight w:val="none"/>
              </w:rPr>
            </w:pPr>
            <w:r>
              <w:rPr>
                <w:rFonts w:hint="eastAsia"/>
                <w:color w:val="auto"/>
                <w:highlight w:val="none"/>
                <w:lang w:val="en-US" w:eastAsia="zh-CN"/>
              </w:rPr>
              <w:t>0+100</w:t>
            </w:r>
          </w:p>
        </w:tc>
        <w:tc>
          <w:tcPr>
            <w:tcW w:w="982" w:type="dxa"/>
            <w:shd w:val="clear" w:color="auto" w:fill="auto"/>
            <w:vAlign w:val="center"/>
          </w:tcPr>
          <w:p>
            <w:pPr>
              <w:pStyle w:val="272"/>
              <w:spacing w:line="240" w:lineRule="auto"/>
              <w:ind w:firstLine="0" w:firstLineChars="0"/>
              <w:rPr>
                <w:rFonts w:eastAsia="等线"/>
                <w:color w:val="auto"/>
                <w:szCs w:val="22"/>
                <w:highlight w:val="none"/>
              </w:rPr>
            </w:pPr>
            <w:r>
              <w:rPr>
                <w:rFonts w:hint="eastAsia" w:eastAsia="等线"/>
                <w:color w:val="auto"/>
                <w:szCs w:val="22"/>
                <w:highlight w:val="none"/>
                <w:lang w:val="en-US" w:eastAsia="zh-CN"/>
              </w:rPr>
              <w:t>0.17</w:t>
            </w:r>
          </w:p>
        </w:tc>
        <w:tc>
          <w:tcPr>
            <w:tcW w:w="978" w:type="dxa"/>
            <w:shd w:val="clear" w:color="auto" w:fill="auto"/>
            <w:vAlign w:val="center"/>
          </w:tcPr>
          <w:p>
            <w:pPr>
              <w:widowControl/>
              <w:spacing w:line="240" w:lineRule="atLeast"/>
              <w:ind w:firstLine="0" w:firstLineChars="0"/>
              <w:jc w:val="center"/>
              <w:rPr>
                <w:color w:val="auto"/>
                <w:highlight w:val="none"/>
              </w:rPr>
            </w:pPr>
            <w:r>
              <w:rPr>
                <w:rFonts w:hint="eastAsia"/>
                <w:color w:val="auto"/>
                <w:sz w:val="22"/>
                <w:szCs w:val="22"/>
                <w:highlight w:val="none"/>
                <w:lang w:val="en-US" w:eastAsia="zh-CN"/>
              </w:rPr>
              <w:t>100</w:t>
            </w:r>
          </w:p>
        </w:tc>
        <w:tc>
          <w:tcPr>
            <w:tcW w:w="1117" w:type="dxa"/>
            <w:vAlign w:val="center"/>
          </w:tcPr>
          <w:p>
            <w:pPr>
              <w:pStyle w:val="272"/>
              <w:spacing w:line="240" w:lineRule="auto"/>
              <w:ind w:firstLine="0" w:firstLineChars="0"/>
              <w:rPr>
                <w:color w:val="auto"/>
                <w:highlight w:val="none"/>
              </w:rPr>
            </w:pPr>
            <w:r>
              <w:rPr>
                <w:color w:val="auto"/>
                <w:highlight w:val="none"/>
              </w:rPr>
              <w:t>10年一遇</w:t>
            </w:r>
          </w:p>
        </w:tc>
        <w:tc>
          <w:tcPr>
            <w:tcW w:w="1117" w:type="dxa"/>
            <w:vAlign w:val="center"/>
          </w:tcPr>
          <w:p>
            <w:pPr>
              <w:pStyle w:val="272"/>
              <w:spacing w:line="240" w:lineRule="auto"/>
              <w:ind w:firstLine="0" w:firstLineChars="0"/>
              <w:rPr>
                <w:rFonts w:eastAsia="等线"/>
                <w:color w:val="auto"/>
                <w:szCs w:val="22"/>
                <w:highlight w:val="none"/>
              </w:rPr>
            </w:pPr>
            <w:r>
              <w:rPr>
                <w:rFonts w:hint="eastAsia" w:eastAsia="等线"/>
                <w:color w:val="auto"/>
                <w:szCs w:val="22"/>
                <w:highlight w:val="none"/>
                <w:lang w:val="en-US" w:eastAsia="zh-CN"/>
              </w:rPr>
              <w:t>2.21</w:t>
            </w:r>
          </w:p>
        </w:tc>
        <w:tc>
          <w:tcPr>
            <w:tcW w:w="835" w:type="dxa"/>
            <w:vAlign w:val="center"/>
          </w:tcPr>
          <w:p>
            <w:pPr>
              <w:pStyle w:val="272"/>
              <w:spacing w:line="240" w:lineRule="auto"/>
              <w:rPr>
                <w:rFonts w:hint="default" w:eastAsia="宋体"/>
                <w:color w:val="auto"/>
                <w:highlight w:val="none"/>
                <w:lang w:val="en-US" w:eastAsia="zh-CN"/>
              </w:rPr>
            </w:pPr>
            <w:r>
              <w:rPr>
                <w:rFonts w:hint="eastAsia"/>
                <w:color w:val="auto"/>
                <w:highlight w:val="none"/>
                <w:lang w:val="en-US" w:eastAsia="zh-CN"/>
              </w:rPr>
              <w:t>2.0</w:t>
            </w:r>
          </w:p>
        </w:tc>
        <w:tc>
          <w:tcPr>
            <w:tcW w:w="832" w:type="dxa"/>
            <w:shd w:val="clear" w:color="auto" w:fill="auto"/>
            <w:vAlign w:val="center"/>
          </w:tcPr>
          <w:p>
            <w:pPr>
              <w:pStyle w:val="272"/>
              <w:spacing w:line="240" w:lineRule="auto"/>
              <w:rPr>
                <w:color w:val="auto"/>
                <w:highlight w:val="none"/>
              </w:rPr>
            </w:pPr>
            <w:r>
              <w:rPr>
                <w:rFonts w:hint="eastAsia"/>
                <w:color w:val="auto"/>
                <w:highlight w:val="none"/>
              </w:rPr>
              <w:t>满足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902" w:type="dxa"/>
            <w:shd w:val="clear" w:color="auto" w:fill="auto"/>
            <w:vAlign w:val="center"/>
          </w:tcPr>
          <w:p>
            <w:pPr>
              <w:pStyle w:val="272"/>
              <w:spacing w:line="240" w:lineRule="auto"/>
              <w:ind w:firstLine="0" w:firstLineChars="0"/>
              <w:rPr>
                <w:rFonts w:hint="eastAsia" w:eastAsia="宋体"/>
                <w:color w:val="auto"/>
                <w:highlight w:val="none"/>
                <w:lang w:eastAsia="zh-CN"/>
              </w:rPr>
            </w:pPr>
            <w:r>
              <w:rPr>
                <w:rFonts w:hint="eastAsia"/>
                <w:color w:val="auto"/>
                <w:highlight w:val="none"/>
                <w:lang w:val="en-US" w:eastAsia="zh-CN"/>
              </w:rPr>
              <w:t>3#</w:t>
            </w:r>
            <w:r>
              <w:rPr>
                <w:rFonts w:hint="eastAsia"/>
                <w:color w:val="auto"/>
                <w:highlight w:val="none"/>
                <w:lang w:eastAsia="zh-CN"/>
              </w:rPr>
              <w:t>泄洪闸</w:t>
            </w:r>
          </w:p>
        </w:tc>
        <w:tc>
          <w:tcPr>
            <w:tcW w:w="1014" w:type="dxa"/>
            <w:shd w:val="clear" w:color="auto" w:fill="auto"/>
            <w:vAlign w:val="center"/>
          </w:tcPr>
          <w:p>
            <w:pPr>
              <w:pStyle w:val="272"/>
              <w:spacing w:line="240" w:lineRule="auto"/>
              <w:ind w:firstLine="0" w:firstLineChars="0"/>
              <w:rPr>
                <w:color w:val="auto"/>
                <w:highlight w:val="none"/>
              </w:rPr>
            </w:pPr>
            <w:r>
              <w:rPr>
                <w:rFonts w:hint="eastAsia"/>
                <w:color w:val="auto"/>
                <w:highlight w:val="none"/>
                <w:lang w:val="en-US" w:eastAsia="zh-CN"/>
              </w:rPr>
              <w:t>1+000</w:t>
            </w:r>
          </w:p>
        </w:tc>
        <w:tc>
          <w:tcPr>
            <w:tcW w:w="982" w:type="dxa"/>
            <w:shd w:val="clear" w:color="auto" w:fill="auto"/>
            <w:vAlign w:val="center"/>
          </w:tcPr>
          <w:p>
            <w:pPr>
              <w:pStyle w:val="272"/>
              <w:spacing w:line="240" w:lineRule="auto"/>
              <w:ind w:firstLine="0" w:firstLineChars="0"/>
              <w:rPr>
                <w:rFonts w:eastAsia="等线"/>
                <w:color w:val="auto"/>
                <w:szCs w:val="22"/>
                <w:highlight w:val="none"/>
              </w:rPr>
            </w:pPr>
            <w:r>
              <w:rPr>
                <w:rFonts w:hint="eastAsia" w:eastAsia="等线"/>
                <w:color w:val="auto"/>
                <w:szCs w:val="22"/>
                <w:highlight w:val="none"/>
                <w:lang w:val="en-US" w:eastAsia="zh-CN"/>
              </w:rPr>
              <w:t>0.24</w:t>
            </w:r>
          </w:p>
        </w:tc>
        <w:tc>
          <w:tcPr>
            <w:tcW w:w="978" w:type="dxa"/>
            <w:shd w:val="clear" w:color="auto" w:fill="auto"/>
            <w:vAlign w:val="center"/>
          </w:tcPr>
          <w:p>
            <w:pPr>
              <w:widowControl/>
              <w:spacing w:line="240" w:lineRule="atLeast"/>
              <w:ind w:firstLine="0" w:firstLineChars="0"/>
              <w:jc w:val="center"/>
              <w:rPr>
                <w:color w:val="auto"/>
                <w:highlight w:val="none"/>
              </w:rPr>
            </w:pPr>
            <w:r>
              <w:rPr>
                <w:rFonts w:hint="eastAsia"/>
                <w:color w:val="auto"/>
                <w:sz w:val="21"/>
                <w:szCs w:val="20"/>
                <w:highlight w:val="none"/>
                <w:lang w:val="en-US" w:eastAsia="zh-CN"/>
              </w:rPr>
              <w:t>900</w:t>
            </w:r>
          </w:p>
        </w:tc>
        <w:tc>
          <w:tcPr>
            <w:tcW w:w="1117" w:type="dxa"/>
            <w:vAlign w:val="center"/>
          </w:tcPr>
          <w:p>
            <w:pPr>
              <w:pStyle w:val="272"/>
              <w:spacing w:line="240" w:lineRule="auto"/>
              <w:ind w:firstLine="0" w:firstLineChars="0"/>
              <w:rPr>
                <w:rFonts w:eastAsia="等线"/>
                <w:color w:val="auto"/>
                <w:szCs w:val="22"/>
                <w:highlight w:val="none"/>
              </w:rPr>
            </w:pPr>
            <w:r>
              <w:rPr>
                <w:color w:val="auto"/>
                <w:highlight w:val="none"/>
              </w:rPr>
              <w:t>10年一遇</w:t>
            </w:r>
          </w:p>
        </w:tc>
        <w:tc>
          <w:tcPr>
            <w:tcW w:w="1117" w:type="dxa"/>
            <w:vAlign w:val="center"/>
          </w:tcPr>
          <w:p>
            <w:pPr>
              <w:pStyle w:val="272"/>
              <w:spacing w:line="240" w:lineRule="auto"/>
              <w:ind w:firstLine="0" w:firstLineChars="0"/>
              <w:rPr>
                <w:rFonts w:eastAsia="等线"/>
                <w:color w:val="auto"/>
                <w:szCs w:val="22"/>
                <w:highlight w:val="none"/>
              </w:rPr>
            </w:pPr>
            <w:r>
              <w:rPr>
                <w:rFonts w:hint="eastAsia" w:eastAsia="等线"/>
                <w:color w:val="auto"/>
                <w:szCs w:val="22"/>
                <w:highlight w:val="none"/>
                <w:lang w:val="en-US" w:eastAsia="zh-CN"/>
              </w:rPr>
              <w:t>3.12</w:t>
            </w:r>
          </w:p>
        </w:tc>
        <w:tc>
          <w:tcPr>
            <w:tcW w:w="835" w:type="dxa"/>
            <w:vAlign w:val="center"/>
          </w:tcPr>
          <w:p>
            <w:pPr>
              <w:pStyle w:val="272"/>
              <w:spacing w:line="240" w:lineRule="auto"/>
              <w:rPr>
                <w:rFonts w:hint="default" w:eastAsia="宋体"/>
                <w:color w:val="auto"/>
                <w:highlight w:val="none"/>
                <w:lang w:val="en-US" w:eastAsia="zh-CN"/>
              </w:rPr>
            </w:pPr>
            <w:r>
              <w:rPr>
                <w:rFonts w:hint="eastAsia"/>
                <w:color w:val="auto"/>
                <w:highlight w:val="none"/>
                <w:lang w:val="en-US" w:eastAsia="zh-CN"/>
              </w:rPr>
              <w:t>2.0</w:t>
            </w:r>
          </w:p>
        </w:tc>
        <w:tc>
          <w:tcPr>
            <w:tcW w:w="832" w:type="dxa"/>
            <w:shd w:val="clear" w:color="auto" w:fill="auto"/>
            <w:vAlign w:val="center"/>
          </w:tcPr>
          <w:p>
            <w:pPr>
              <w:pStyle w:val="272"/>
              <w:spacing w:line="240" w:lineRule="auto"/>
              <w:rPr>
                <w:color w:val="auto"/>
                <w:highlight w:val="none"/>
              </w:rPr>
            </w:pPr>
            <w:r>
              <w:rPr>
                <w:rFonts w:hint="eastAsia"/>
                <w:color w:val="auto"/>
                <w:highlight w:val="none"/>
              </w:rPr>
              <w:t>满足</w:t>
            </w:r>
          </w:p>
        </w:tc>
      </w:tr>
    </w:tbl>
    <w:p>
      <w:pPr>
        <w:pStyle w:val="333"/>
        <w:numPr>
          <w:ilvl w:val="0"/>
          <w:numId w:val="0"/>
        </w:numPr>
        <w:ind w:leftChars="0"/>
        <w:jc w:val="center"/>
        <w:rPr>
          <w:rFonts w:hint="eastAsia"/>
          <w:color w:val="auto"/>
          <w:highlight w:val="none"/>
        </w:rPr>
      </w:pPr>
    </w:p>
    <w:p>
      <w:pPr>
        <w:pStyle w:val="3"/>
        <w:rPr>
          <w:color w:val="auto"/>
          <w:highlight w:val="none"/>
        </w:rPr>
      </w:pPr>
      <w:bookmarkStart w:id="252" w:name="_Toc3667"/>
      <w:r>
        <w:rPr>
          <w:color w:val="auto"/>
          <w:highlight w:val="none"/>
        </w:rPr>
        <w:t>4.</w:t>
      </w:r>
      <w:r>
        <w:rPr>
          <w:rFonts w:hint="eastAsia"/>
          <w:color w:val="auto"/>
          <w:highlight w:val="none"/>
        </w:rPr>
        <w:t>5</w:t>
      </w:r>
      <w:r>
        <w:rPr>
          <w:color w:val="auto"/>
          <w:highlight w:val="none"/>
        </w:rPr>
        <w:t xml:space="preserve"> </w:t>
      </w:r>
      <w:r>
        <w:rPr>
          <w:rFonts w:hint="eastAsia"/>
          <w:color w:val="auto"/>
          <w:highlight w:val="none"/>
        </w:rPr>
        <w:t>灌溉能力计算</w:t>
      </w:r>
      <w:bookmarkEnd w:id="252"/>
    </w:p>
    <w:p>
      <w:pPr>
        <w:pStyle w:val="335"/>
        <w:spacing w:before="156" w:after="156"/>
        <w:rPr>
          <w:color w:val="auto"/>
          <w:highlight w:val="none"/>
        </w:rPr>
      </w:pPr>
      <w:r>
        <w:rPr>
          <w:rFonts w:hint="eastAsia"/>
          <w:color w:val="auto"/>
          <w:highlight w:val="none"/>
        </w:rPr>
        <w:t>4.5.1 灌溉设计保证率</w:t>
      </w:r>
    </w:p>
    <w:p>
      <w:pPr>
        <w:ind w:firstLine="480"/>
        <w:rPr>
          <w:color w:val="auto"/>
          <w:highlight w:val="none"/>
        </w:rPr>
      </w:pPr>
      <w:r>
        <w:rPr>
          <w:color w:val="auto"/>
          <w:highlight w:val="none"/>
        </w:rPr>
        <w:t>根据《灌溉与排水工程设计</w:t>
      </w:r>
      <w:r>
        <w:rPr>
          <w:rFonts w:hint="eastAsia"/>
          <w:color w:val="auto"/>
          <w:highlight w:val="none"/>
        </w:rPr>
        <w:t>标准</w:t>
      </w:r>
      <w:r>
        <w:rPr>
          <w:color w:val="auto"/>
          <w:highlight w:val="none"/>
        </w:rPr>
        <w:t>》（GB50288-2018），广州属湿润丰水地区，灌溉设计保证率选用80</w:t>
      </w:r>
      <w:r>
        <w:rPr>
          <w:rFonts w:hint="eastAsia"/>
          <w:color w:val="auto"/>
          <w:highlight w:val="none"/>
        </w:rPr>
        <w:t>%</w:t>
      </w:r>
      <w:r>
        <w:rPr>
          <w:color w:val="auto"/>
          <w:highlight w:val="none"/>
        </w:rPr>
        <w:t>~95%，参考《广州市流溪河综合整治规划》、《广州市江河流域（区域）综合规划》，本工程</w:t>
      </w:r>
      <w:r>
        <w:rPr>
          <w:rFonts w:hint="eastAsia"/>
          <w:color w:val="auto"/>
          <w:highlight w:val="none"/>
          <w:lang w:eastAsia="zh-CN"/>
        </w:rPr>
        <w:t>南大水库灌区干渠</w:t>
      </w:r>
      <w:r>
        <w:rPr>
          <w:color w:val="auto"/>
          <w:highlight w:val="none"/>
        </w:rPr>
        <w:t>灌溉设计保证率取90%。</w:t>
      </w:r>
    </w:p>
    <w:p>
      <w:pPr>
        <w:pStyle w:val="335"/>
        <w:spacing w:before="156" w:after="156"/>
        <w:rPr>
          <w:color w:val="auto"/>
          <w:highlight w:val="none"/>
        </w:rPr>
      </w:pPr>
      <w:r>
        <w:rPr>
          <w:rFonts w:hint="eastAsia"/>
          <w:color w:val="auto"/>
          <w:highlight w:val="none"/>
        </w:rPr>
        <w:t xml:space="preserve">4.5.2 </w:t>
      </w:r>
      <w:r>
        <w:rPr>
          <w:color w:val="auto"/>
          <w:highlight w:val="none"/>
        </w:rPr>
        <w:t>灌溉制度</w:t>
      </w:r>
      <w:bookmarkEnd w:id="249"/>
      <w:bookmarkEnd w:id="250"/>
      <w:bookmarkEnd w:id="251"/>
    </w:p>
    <w:p>
      <w:pPr>
        <w:ind w:firstLine="480"/>
        <w:rPr>
          <w:rFonts w:hint="eastAsia"/>
          <w:color w:val="auto"/>
          <w:highlight w:val="none"/>
          <w:lang w:eastAsia="zh-CN"/>
        </w:rPr>
      </w:pPr>
      <w:r>
        <w:rPr>
          <w:rFonts w:hint="eastAsia"/>
          <w:color w:val="auto"/>
          <w:highlight w:val="none"/>
          <w:lang w:eastAsia="zh-CN"/>
        </w:rPr>
        <w:t>根据从化区农科所实测资料所得，从化区灌溉制度一万亩为Q=1.089m</w:t>
      </w:r>
      <w:r>
        <w:rPr>
          <w:rFonts w:hint="eastAsia"/>
          <w:color w:val="auto"/>
          <w:highlight w:val="none"/>
          <w:lang w:val="en-US" w:eastAsia="zh-CN"/>
        </w:rPr>
        <w:t>³</w:t>
      </w:r>
      <w:r>
        <w:rPr>
          <w:rFonts w:hint="eastAsia"/>
          <w:color w:val="auto"/>
          <w:highlight w:val="none"/>
          <w:lang w:eastAsia="zh-CN"/>
        </w:rPr>
        <w:t>/s。本工程采用从化区农科所实测资料，设计灌水率为</w:t>
      </w:r>
      <w:r>
        <w:rPr>
          <w:rFonts w:hint="eastAsia"/>
          <w:color w:val="auto"/>
          <w:highlight w:val="none"/>
          <w:lang w:val="en-US" w:eastAsia="zh-CN"/>
        </w:rPr>
        <w:t>1.089</w:t>
      </w:r>
      <w:r>
        <w:rPr>
          <w:rFonts w:hint="eastAsia"/>
          <w:color w:val="auto"/>
          <w:highlight w:val="none"/>
          <w:lang w:eastAsia="zh-CN"/>
        </w:rPr>
        <w:t>m</w:t>
      </w:r>
      <w:r>
        <w:rPr>
          <w:rFonts w:hint="eastAsia"/>
          <w:color w:val="auto"/>
          <w:highlight w:val="none"/>
          <w:lang w:val="en-US" w:eastAsia="zh-CN"/>
        </w:rPr>
        <w:t>³</w:t>
      </w:r>
      <w:r>
        <w:rPr>
          <w:rFonts w:hint="eastAsia"/>
          <w:color w:val="auto"/>
          <w:highlight w:val="none"/>
          <w:lang w:eastAsia="zh-CN"/>
        </w:rPr>
        <w:t>/s/万亩。</w:t>
      </w:r>
    </w:p>
    <w:p>
      <w:pPr>
        <w:pStyle w:val="335"/>
        <w:spacing w:before="156" w:after="156"/>
        <w:rPr>
          <w:color w:val="auto"/>
          <w:highlight w:val="none"/>
        </w:rPr>
      </w:pPr>
      <w:bookmarkStart w:id="253" w:name="_Toc513816915"/>
      <w:bookmarkStart w:id="254" w:name="_Toc508891987"/>
      <w:bookmarkStart w:id="255" w:name="_Toc536295097"/>
      <w:r>
        <w:rPr>
          <w:color w:val="auto"/>
          <w:highlight w:val="none"/>
        </w:rPr>
        <w:t>4.5</w:t>
      </w:r>
      <w:r>
        <w:rPr>
          <w:rFonts w:hint="eastAsia"/>
          <w:color w:val="auto"/>
          <w:highlight w:val="none"/>
        </w:rPr>
        <w:t>.3</w:t>
      </w:r>
      <w:r>
        <w:rPr>
          <w:color w:val="auto"/>
          <w:highlight w:val="none"/>
        </w:rPr>
        <w:t>供需水量平衡</w:t>
      </w:r>
      <w:bookmarkEnd w:id="253"/>
      <w:bookmarkEnd w:id="254"/>
      <w:bookmarkEnd w:id="255"/>
    </w:p>
    <w:p>
      <w:pPr>
        <w:pStyle w:val="5"/>
        <w:rPr>
          <w:color w:val="auto"/>
          <w:highlight w:val="none"/>
        </w:rPr>
      </w:pPr>
      <w:bookmarkStart w:id="256" w:name="_Toc536295098"/>
      <w:r>
        <w:rPr>
          <w:color w:val="auto"/>
          <w:highlight w:val="none"/>
        </w:rPr>
        <w:t>4</w:t>
      </w:r>
      <w:r>
        <w:rPr>
          <w:rFonts w:hint="eastAsia"/>
          <w:color w:val="auto"/>
          <w:highlight w:val="none"/>
        </w:rPr>
        <w:t>.</w:t>
      </w:r>
      <w:r>
        <w:rPr>
          <w:color w:val="auto"/>
          <w:highlight w:val="none"/>
        </w:rPr>
        <w:t>5</w:t>
      </w:r>
      <w:r>
        <w:rPr>
          <w:rFonts w:hint="eastAsia"/>
          <w:color w:val="auto"/>
          <w:highlight w:val="none"/>
        </w:rPr>
        <w:t>.3.1需水量预测</w:t>
      </w:r>
      <w:bookmarkEnd w:id="256"/>
    </w:p>
    <w:p>
      <w:pPr>
        <w:ind w:firstLine="480"/>
        <w:rPr>
          <w:rFonts w:hint="eastAsia"/>
          <w:color w:val="auto"/>
          <w:highlight w:val="none"/>
          <w:lang w:eastAsia="zh-CN"/>
        </w:rPr>
      </w:pPr>
      <w:r>
        <w:rPr>
          <w:rFonts w:hint="default"/>
          <w:color w:val="auto"/>
          <w:highlight w:val="none"/>
          <w:lang w:val="en-US" w:eastAsia="zh-CN"/>
        </w:rPr>
        <w:t>根据《广州</w:t>
      </w:r>
      <w:r>
        <w:rPr>
          <w:rFonts w:hint="eastAsia"/>
          <w:color w:val="auto"/>
          <w:highlight w:val="none"/>
          <w:lang w:val="en-US" w:eastAsia="zh-CN"/>
        </w:rPr>
        <w:t>省</w:t>
      </w:r>
      <w:r>
        <w:rPr>
          <w:rFonts w:hint="default"/>
          <w:color w:val="auto"/>
          <w:highlight w:val="none"/>
          <w:lang w:val="en-US" w:eastAsia="zh-CN"/>
        </w:rPr>
        <w:t>山区小型灌区改造工程规划（2011-2020年）》</w:t>
      </w:r>
      <w:r>
        <w:rPr>
          <w:rFonts w:hint="eastAsia"/>
          <w:color w:val="auto"/>
          <w:highlight w:val="none"/>
          <w:lang w:val="en-US" w:eastAsia="zh-CN"/>
        </w:rPr>
        <w:t>（粤水农水[2012]2号），</w:t>
      </w:r>
      <w:r>
        <w:rPr>
          <w:rFonts w:hint="eastAsia"/>
          <w:color w:val="auto"/>
          <w:highlight w:val="none"/>
          <w:lang w:eastAsia="zh-CN"/>
        </w:rPr>
        <w:t>南大水库灌区干渠设计灌溉面积为</w:t>
      </w:r>
      <w:r>
        <w:rPr>
          <w:rFonts w:hint="eastAsia"/>
          <w:color w:val="auto"/>
          <w:highlight w:val="none"/>
          <w:lang w:val="en-US" w:eastAsia="zh-CN"/>
        </w:rPr>
        <w:t>8900</w:t>
      </w:r>
      <w:r>
        <w:rPr>
          <w:rFonts w:hint="eastAsia"/>
          <w:color w:val="auto"/>
          <w:highlight w:val="none"/>
          <w:lang w:eastAsia="zh-CN"/>
        </w:rPr>
        <w:t>亩，净灌溉定额546m³/亩，净灌溉需水量为1747.2万m³。参考类似报告及规划，灌溉水利用系数考虑0.618。</w:t>
      </w:r>
    </w:p>
    <w:p>
      <w:pPr>
        <w:ind w:firstLine="480"/>
        <w:rPr>
          <w:color w:val="auto"/>
          <w:kern w:val="0"/>
          <w:highlight w:val="none"/>
          <w:lang w:bidi="en-US"/>
        </w:rPr>
      </w:pPr>
      <w:r>
        <w:rPr>
          <w:rFonts w:hint="eastAsia"/>
          <w:color w:val="auto"/>
          <w:kern w:val="0"/>
          <w:highlight w:val="none"/>
          <w:lang w:bidi="en-US"/>
        </w:rPr>
        <w:t>毛需水量：W毛=Q×A÷0.618</w:t>
      </w:r>
    </w:p>
    <w:p>
      <w:pPr>
        <w:ind w:firstLine="480"/>
        <w:rPr>
          <w:color w:val="auto"/>
          <w:kern w:val="0"/>
          <w:highlight w:val="none"/>
          <w:lang w:bidi="en-US"/>
        </w:rPr>
      </w:pPr>
      <w:r>
        <w:rPr>
          <w:rFonts w:hint="eastAsia"/>
          <w:color w:val="auto"/>
          <w:kern w:val="0"/>
          <w:highlight w:val="none"/>
          <w:lang w:bidi="en-US"/>
        </w:rPr>
        <w:t>式中：W</w:t>
      </w:r>
      <w:r>
        <w:rPr>
          <w:rFonts w:hint="eastAsia"/>
          <w:color w:val="auto"/>
          <w:kern w:val="0"/>
          <w:highlight w:val="none"/>
          <w:vertAlign w:val="subscript"/>
          <w:lang w:bidi="en-US"/>
        </w:rPr>
        <w:t>毛</w:t>
      </w:r>
      <w:r>
        <w:rPr>
          <w:rFonts w:hint="eastAsia"/>
          <w:color w:val="auto"/>
          <w:kern w:val="0"/>
          <w:highlight w:val="none"/>
          <w:lang w:bidi="en-US"/>
        </w:rPr>
        <w:t>——毛需水量（万</w:t>
      </w:r>
      <w:r>
        <w:rPr>
          <w:rFonts w:hint="eastAsia"/>
          <w:color w:val="auto"/>
          <w:kern w:val="0"/>
          <w:highlight w:val="none"/>
          <w:lang w:eastAsia="zh-CN" w:bidi="en-US"/>
        </w:rPr>
        <w:t>m³</w:t>
      </w:r>
      <w:r>
        <w:rPr>
          <w:rFonts w:hint="eastAsia"/>
          <w:color w:val="auto"/>
          <w:kern w:val="0"/>
          <w:highlight w:val="none"/>
          <w:lang w:bidi="en-US"/>
        </w:rPr>
        <w:t>）；</w:t>
      </w:r>
    </w:p>
    <w:p>
      <w:pPr>
        <w:ind w:firstLine="480"/>
        <w:rPr>
          <w:color w:val="auto"/>
          <w:kern w:val="0"/>
          <w:highlight w:val="none"/>
          <w:lang w:bidi="en-US"/>
        </w:rPr>
      </w:pPr>
      <w:r>
        <w:rPr>
          <w:rFonts w:hint="eastAsia"/>
          <w:color w:val="auto"/>
          <w:kern w:val="0"/>
          <w:highlight w:val="none"/>
          <w:lang w:bidi="en-US"/>
        </w:rPr>
        <w:t>Q——灌溉定额（</w:t>
      </w:r>
      <w:r>
        <w:rPr>
          <w:rFonts w:hint="eastAsia"/>
          <w:color w:val="auto"/>
          <w:kern w:val="0"/>
          <w:highlight w:val="none"/>
          <w:lang w:eastAsia="zh-CN" w:bidi="en-US"/>
        </w:rPr>
        <w:t>m³</w:t>
      </w:r>
      <w:r>
        <w:rPr>
          <w:rFonts w:hint="eastAsia"/>
          <w:color w:val="auto"/>
          <w:kern w:val="0"/>
          <w:highlight w:val="none"/>
          <w:lang w:bidi="en-US"/>
        </w:rPr>
        <w:t>/亩）；</w:t>
      </w:r>
    </w:p>
    <w:p>
      <w:pPr>
        <w:ind w:firstLine="480"/>
        <w:rPr>
          <w:color w:val="auto"/>
          <w:kern w:val="0"/>
          <w:highlight w:val="none"/>
          <w:lang w:bidi="en-US"/>
        </w:rPr>
      </w:pPr>
      <w:r>
        <w:rPr>
          <w:rFonts w:hint="eastAsia"/>
          <w:color w:val="auto"/>
          <w:kern w:val="0"/>
          <w:highlight w:val="none"/>
          <w:lang w:bidi="en-US"/>
        </w:rPr>
        <w:t>A——灌溉面积（万亩）。</w:t>
      </w:r>
    </w:p>
    <w:p>
      <w:pPr>
        <w:ind w:firstLine="480"/>
        <w:rPr>
          <w:color w:val="auto"/>
          <w:kern w:val="0"/>
          <w:highlight w:val="none"/>
          <w:lang w:bidi="en-US"/>
        </w:rPr>
      </w:pPr>
      <w:r>
        <w:rPr>
          <w:rFonts w:hint="eastAsia"/>
          <w:color w:val="auto"/>
          <w:kern w:val="0"/>
          <w:highlight w:val="none"/>
          <w:lang w:bidi="en-US"/>
        </w:rPr>
        <w:t>经计算，</w:t>
      </w:r>
      <w:r>
        <w:rPr>
          <w:rFonts w:hint="eastAsia"/>
          <w:color w:val="auto"/>
          <w:kern w:val="0"/>
          <w:highlight w:val="none"/>
          <w:lang w:eastAsia="zh-CN" w:bidi="en-US"/>
        </w:rPr>
        <w:t>南大水库灌区干渠</w:t>
      </w:r>
      <w:r>
        <w:rPr>
          <w:rFonts w:hint="eastAsia"/>
          <w:color w:val="auto"/>
          <w:kern w:val="0"/>
          <w:highlight w:val="none"/>
          <w:lang w:bidi="en-US"/>
        </w:rPr>
        <w:t>毛需水量</w:t>
      </w:r>
      <w:r>
        <w:rPr>
          <w:rFonts w:hint="eastAsia"/>
          <w:color w:val="auto"/>
          <w:kern w:val="0"/>
          <w:highlight w:val="none"/>
          <w:lang w:val="en-US" w:eastAsia="zh-CN" w:bidi="en-US"/>
        </w:rPr>
        <w:t>786.3</w:t>
      </w:r>
      <w:r>
        <w:rPr>
          <w:rFonts w:hint="eastAsia"/>
          <w:color w:val="auto"/>
          <w:kern w:val="0"/>
          <w:highlight w:val="none"/>
          <w:lang w:bidi="en-US"/>
        </w:rPr>
        <w:t>万</w:t>
      </w:r>
      <w:r>
        <w:rPr>
          <w:rFonts w:hint="eastAsia"/>
          <w:color w:val="auto"/>
          <w:kern w:val="0"/>
          <w:highlight w:val="none"/>
          <w:lang w:eastAsia="zh-CN" w:bidi="en-US"/>
        </w:rPr>
        <w:t>m³</w:t>
      </w:r>
      <w:r>
        <w:rPr>
          <w:rFonts w:hint="eastAsia"/>
          <w:color w:val="auto"/>
          <w:kern w:val="0"/>
          <w:highlight w:val="none"/>
          <w:lang w:bidi="en-US"/>
        </w:rPr>
        <w:t>。</w:t>
      </w:r>
    </w:p>
    <w:p>
      <w:pPr>
        <w:pStyle w:val="5"/>
        <w:rPr>
          <w:color w:val="auto"/>
          <w:highlight w:val="none"/>
        </w:rPr>
      </w:pPr>
      <w:bookmarkStart w:id="257" w:name="_Toc536295099"/>
      <w:r>
        <w:rPr>
          <w:color w:val="auto"/>
          <w:highlight w:val="none"/>
        </w:rPr>
        <w:t>4</w:t>
      </w:r>
      <w:r>
        <w:rPr>
          <w:rFonts w:hint="eastAsia"/>
          <w:color w:val="auto"/>
          <w:highlight w:val="none"/>
        </w:rPr>
        <w:t>.</w:t>
      </w:r>
      <w:r>
        <w:rPr>
          <w:color w:val="auto"/>
          <w:highlight w:val="none"/>
        </w:rPr>
        <w:t>5</w:t>
      </w:r>
      <w:r>
        <w:rPr>
          <w:rFonts w:hint="eastAsia"/>
          <w:color w:val="auto"/>
          <w:highlight w:val="none"/>
        </w:rPr>
        <w:t>.3.2 可利用水量</w:t>
      </w:r>
      <w:bookmarkEnd w:id="257"/>
    </w:p>
    <w:p>
      <w:pPr>
        <w:ind w:firstLine="480"/>
        <w:rPr>
          <w:rFonts w:hint="eastAsia"/>
          <w:color w:val="auto"/>
          <w:highlight w:val="none"/>
          <w:lang w:eastAsia="zh-CN"/>
        </w:rPr>
      </w:pPr>
      <w:r>
        <w:rPr>
          <w:rFonts w:hint="eastAsia"/>
          <w:color w:val="auto"/>
          <w:highlight w:val="none"/>
          <w:lang w:eastAsia="zh-CN"/>
        </w:rPr>
        <w:t>根据《广州从化市水系规划总报告》（2009年07月）从化水资源利用规划内容，到2020年从化区社会经济毛需水量：城镇及农村生活用水需水量为3218万m³，全市工业需水量为22275万m³，农业需水量为22701万m³，建筑业和第三产业需水量为3872万m³，其中农业用水量占34.81%。南大水库灌区干渠为纯农业，灌溉水源为南大水库下游约</w:t>
      </w:r>
      <w:r>
        <w:rPr>
          <w:rFonts w:hint="eastAsia"/>
          <w:color w:val="auto"/>
          <w:highlight w:val="none"/>
          <w:lang w:val="en-US" w:eastAsia="zh-CN"/>
        </w:rPr>
        <w:t>2km年</w:t>
      </w:r>
      <w:r>
        <w:rPr>
          <w:rFonts w:hint="eastAsia"/>
          <w:color w:val="auto"/>
          <w:highlight w:val="none"/>
          <w:lang w:eastAsia="zh-CN"/>
        </w:rPr>
        <w:t>小海河断面引水，本次可利用水量参照《广州从化市水系规划总报告》中农业用水量比例34.81%对南大水库下游约</w:t>
      </w:r>
      <w:r>
        <w:rPr>
          <w:rFonts w:hint="eastAsia"/>
          <w:color w:val="auto"/>
          <w:highlight w:val="none"/>
          <w:lang w:val="en-US" w:eastAsia="zh-CN"/>
        </w:rPr>
        <w:t>2km处</w:t>
      </w:r>
      <w:r>
        <w:rPr>
          <w:rFonts w:hint="eastAsia"/>
          <w:color w:val="auto"/>
          <w:highlight w:val="none"/>
          <w:lang w:eastAsia="zh-CN"/>
        </w:rPr>
        <w:t>小海河断面水资源进行国民经济分配。结合径流计算，南大水库下游约</w:t>
      </w:r>
      <w:r>
        <w:rPr>
          <w:rFonts w:hint="eastAsia"/>
          <w:color w:val="auto"/>
          <w:highlight w:val="none"/>
          <w:lang w:val="en-US" w:eastAsia="zh-CN"/>
        </w:rPr>
        <w:t>2km处</w:t>
      </w:r>
      <w:r>
        <w:rPr>
          <w:rFonts w:hint="eastAsia"/>
          <w:color w:val="auto"/>
          <w:highlight w:val="none"/>
          <w:lang w:eastAsia="zh-CN"/>
        </w:rPr>
        <w:t>小海河断面设计枯水年（P=90%）径流量为</w:t>
      </w:r>
      <w:r>
        <w:rPr>
          <w:rFonts w:hint="eastAsia"/>
          <w:color w:val="auto"/>
          <w:highlight w:val="none"/>
          <w:lang w:val="en-US" w:eastAsia="zh-CN"/>
        </w:rPr>
        <w:t>2804.88</w:t>
      </w:r>
      <w:r>
        <w:rPr>
          <w:rFonts w:hint="eastAsia"/>
          <w:color w:val="auto"/>
          <w:highlight w:val="none"/>
          <w:lang w:eastAsia="zh-CN"/>
        </w:rPr>
        <w:t>万m³，农业可利用径流量为</w:t>
      </w:r>
      <w:r>
        <w:rPr>
          <w:rFonts w:hint="eastAsia"/>
          <w:color w:val="auto"/>
          <w:highlight w:val="none"/>
          <w:lang w:val="en-US" w:eastAsia="zh-CN"/>
        </w:rPr>
        <w:t>976.38</w:t>
      </w:r>
      <w:r>
        <w:rPr>
          <w:rFonts w:hint="eastAsia"/>
          <w:color w:val="auto"/>
          <w:highlight w:val="none"/>
          <w:lang w:eastAsia="zh-CN"/>
        </w:rPr>
        <w:t>万m³；设计平水年（P=50%）径流量为</w:t>
      </w:r>
      <w:r>
        <w:rPr>
          <w:rFonts w:hint="eastAsia"/>
          <w:color w:val="auto"/>
          <w:highlight w:val="none"/>
          <w:lang w:val="en-US" w:eastAsia="zh-CN"/>
        </w:rPr>
        <w:t>4185.74</w:t>
      </w:r>
      <w:r>
        <w:rPr>
          <w:rFonts w:hint="eastAsia"/>
          <w:color w:val="auto"/>
          <w:highlight w:val="none"/>
          <w:lang w:eastAsia="zh-CN"/>
        </w:rPr>
        <w:t>万m³，农业可利用径流量为</w:t>
      </w:r>
      <w:r>
        <w:rPr>
          <w:rFonts w:hint="eastAsia"/>
          <w:color w:val="auto"/>
          <w:highlight w:val="none"/>
          <w:lang w:val="en-US" w:eastAsia="zh-CN"/>
        </w:rPr>
        <w:t>1457.06</w:t>
      </w:r>
      <w:r>
        <w:rPr>
          <w:rFonts w:hint="eastAsia"/>
          <w:color w:val="auto"/>
          <w:highlight w:val="none"/>
          <w:lang w:eastAsia="zh-CN"/>
        </w:rPr>
        <w:t>万m³；设计丰水年（P=10%）径流量为</w:t>
      </w:r>
      <w:r>
        <w:rPr>
          <w:rFonts w:hint="eastAsia"/>
          <w:color w:val="auto"/>
          <w:highlight w:val="none"/>
          <w:lang w:val="en-US" w:eastAsia="zh-CN"/>
        </w:rPr>
        <w:t>5949.97</w:t>
      </w:r>
      <w:r>
        <w:rPr>
          <w:rFonts w:hint="eastAsia"/>
          <w:color w:val="auto"/>
          <w:highlight w:val="none"/>
          <w:lang w:eastAsia="zh-CN"/>
        </w:rPr>
        <w:t>万m³，农业可利用径流量为</w:t>
      </w:r>
      <w:r>
        <w:rPr>
          <w:rFonts w:hint="eastAsia"/>
          <w:color w:val="auto"/>
          <w:highlight w:val="none"/>
          <w:lang w:val="en-US" w:eastAsia="zh-CN"/>
        </w:rPr>
        <w:t>2071.18</w:t>
      </w:r>
      <w:r>
        <w:rPr>
          <w:rFonts w:hint="eastAsia"/>
          <w:color w:val="auto"/>
          <w:highlight w:val="none"/>
          <w:lang w:eastAsia="zh-CN"/>
        </w:rPr>
        <w:t>万m³。经计算，依靠南大水库下游约</w:t>
      </w:r>
      <w:r>
        <w:rPr>
          <w:rFonts w:hint="eastAsia"/>
          <w:color w:val="auto"/>
          <w:highlight w:val="none"/>
          <w:lang w:val="en-US" w:eastAsia="zh-CN"/>
        </w:rPr>
        <w:t>2km处</w:t>
      </w:r>
      <w:r>
        <w:rPr>
          <w:rFonts w:hint="eastAsia"/>
          <w:color w:val="auto"/>
          <w:highlight w:val="none"/>
          <w:lang w:eastAsia="zh-CN"/>
        </w:rPr>
        <w:t>小海河断面天然径流，南大水库灌区供水量可满足需水量的要求。</w:t>
      </w:r>
    </w:p>
    <w:p>
      <w:pPr>
        <w:pStyle w:val="3"/>
        <w:rPr>
          <w:color w:val="auto"/>
          <w:highlight w:val="none"/>
        </w:rPr>
      </w:pPr>
      <w:bookmarkStart w:id="258" w:name="_Toc508891988"/>
      <w:bookmarkStart w:id="259" w:name="_Toc513816916"/>
      <w:bookmarkStart w:id="260" w:name="_Toc32316"/>
      <w:bookmarkStart w:id="261" w:name="_Toc536295101"/>
      <w:r>
        <w:rPr>
          <w:color w:val="auto"/>
          <w:highlight w:val="none"/>
        </w:rPr>
        <w:t>4.6 工程规模</w:t>
      </w:r>
      <w:bookmarkEnd w:id="258"/>
      <w:bookmarkEnd w:id="259"/>
      <w:bookmarkEnd w:id="260"/>
      <w:bookmarkEnd w:id="261"/>
    </w:p>
    <w:p>
      <w:pPr>
        <w:pStyle w:val="335"/>
        <w:spacing w:before="156" w:after="156"/>
        <w:rPr>
          <w:color w:val="auto"/>
          <w:highlight w:val="none"/>
        </w:rPr>
      </w:pPr>
      <w:bookmarkStart w:id="262" w:name="_Toc536295102"/>
      <w:r>
        <w:rPr>
          <w:color w:val="auto"/>
          <w:highlight w:val="none"/>
        </w:rPr>
        <w:t>4</w:t>
      </w:r>
      <w:r>
        <w:rPr>
          <w:rFonts w:hint="eastAsia"/>
          <w:color w:val="auto"/>
          <w:highlight w:val="none"/>
        </w:rPr>
        <w:t>.</w:t>
      </w:r>
      <w:r>
        <w:rPr>
          <w:color w:val="auto"/>
          <w:highlight w:val="none"/>
        </w:rPr>
        <w:t>6</w:t>
      </w:r>
      <w:r>
        <w:rPr>
          <w:rFonts w:hint="eastAsia"/>
          <w:color w:val="auto"/>
          <w:highlight w:val="none"/>
        </w:rPr>
        <w:t>.1总体布置</w:t>
      </w:r>
      <w:bookmarkEnd w:id="262"/>
    </w:p>
    <w:p>
      <w:pPr>
        <w:ind w:firstLine="480"/>
        <w:rPr>
          <w:rFonts w:hint="eastAsia"/>
          <w:color w:val="auto"/>
          <w:kern w:val="0"/>
          <w:highlight w:val="none"/>
          <w:lang w:val="en-US" w:eastAsia="zh-CN" w:bidi="en-US"/>
        </w:rPr>
      </w:pPr>
      <w:r>
        <w:rPr>
          <w:rFonts w:hint="eastAsia"/>
          <w:b w:val="0"/>
          <w:bCs/>
          <w:color w:val="auto"/>
          <w:highlight w:val="none"/>
          <w:lang w:val="en-US" w:eastAsia="zh-CN"/>
        </w:rPr>
        <w:t>本次</w:t>
      </w:r>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渠道进行三面光改造，改造起点位于温泉镇桃莲村委后（桩号0+000），距离干渠渠首约5.5km，终点位于从莞深高速公路穿路箱涵进水口（桩号1+207），改造总长1207m</w:t>
      </w:r>
      <w:r>
        <w:rPr>
          <w:rFonts w:hint="eastAsia"/>
          <w:b w:val="0"/>
          <w:bCs/>
          <w:color w:val="auto"/>
          <w:highlight w:val="none"/>
        </w:rPr>
        <w:t>，</w:t>
      </w:r>
      <w:r>
        <w:rPr>
          <w:rFonts w:hint="eastAsia"/>
          <w:b w:val="0"/>
          <w:bCs/>
          <w:color w:val="auto"/>
          <w:highlight w:val="none"/>
          <w:lang w:eastAsia="zh-CN"/>
        </w:rPr>
        <w:t>主要建设内容是对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渠道进行三面光改造，改造总长为</w:t>
      </w:r>
      <w:r>
        <w:rPr>
          <w:rFonts w:hint="eastAsia"/>
          <w:b w:val="0"/>
          <w:bCs/>
          <w:color w:val="auto"/>
          <w:highlight w:val="none"/>
          <w:lang w:val="en-US" w:eastAsia="zh-CN"/>
        </w:rPr>
        <w:t>1207m，主要建筑物包括新建浆砌石渠道1207m，新建泄洪闸1座，拆除重建泄洪闸2座，拆除重建机耕桥2座，拆除重建人行桥5座，新建钢筋砼溢流面板1168m²等，</w:t>
      </w:r>
      <w:r>
        <w:rPr>
          <w:rFonts w:hint="eastAsia"/>
          <w:color w:val="auto"/>
          <w:kern w:val="0"/>
          <w:highlight w:val="none"/>
          <w:lang w:val="en-US" w:eastAsia="zh-CN" w:bidi="en-US"/>
        </w:rPr>
        <w:t>详</w:t>
      </w:r>
      <w:r>
        <w:rPr>
          <w:rFonts w:hint="eastAsia"/>
          <w:color w:val="auto"/>
          <w:kern w:val="0"/>
          <w:highlight w:val="none"/>
          <w:lang w:bidi="en-US"/>
        </w:rPr>
        <w:t>见总体布置图。</w:t>
      </w:r>
    </w:p>
    <w:p>
      <w:pPr>
        <w:ind w:firstLine="480"/>
        <w:rPr>
          <w:rFonts w:hint="eastAsia"/>
          <w:color w:val="auto"/>
          <w:kern w:val="0"/>
          <w:highlight w:val="none"/>
          <w:lang w:bidi="en-US"/>
        </w:rPr>
      </w:pPr>
      <w:r>
        <w:rPr>
          <w:rFonts w:hint="eastAsia"/>
          <w:color w:val="auto"/>
          <w:kern w:val="0"/>
          <w:highlight w:val="none"/>
          <w:lang w:eastAsia="zh-CN" w:bidi="en-US"/>
        </w:rPr>
        <w:t>南大水库灌区干渠</w:t>
      </w:r>
      <w:r>
        <w:rPr>
          <w:rFonts w:hint="eastAsia"/>
          <w:color w:val="auto"/>
          <w:kern w:val="0"/>
          <w:highlight w:val="none"/>
          <w:lang w:bidi="en-US"/>
        </w:rPr>
        <w:t>自建成至今已运行了</w:t>
      </w:r>
      <w:r>
        <w:rPr>
          <w:rFonts w:hint="eastAsia"/>
          <w:color w:val="auto"/>
          <w:kern w:val="0"/>
          <w:highlight w:val="none"/>
          <w:lang w:eastAsia="zh-CN" w:bidi="en-US"/>
        </w:rPr>
        <w:t>几十</w:t>
      </w:r>
      <w:r>
        <w:rPr>
          <w:rFonts w:hint="eastAsia"/>
          <w:color w:val="auto"/>
          <w:kern w:val="0"/>
          <w:highlight w:val="none"/>
          <w:lang w:bidi="en-US"/>
        </w:rPr>
        <w:t>年，从几十年的运行情况分析，干渠布置基本合理。因此，在现有渠道布置基本合理的情况下，为了减少征地拆迁，降低投资，避免引起不必要的社会问题，本次整治渠道布置基本沿原渠线布置。</w:t>
      </w:r>
    </w:p>
    <w:p>
      <w:pPr>
        <w:pStyle w:val="335"/>
        <w:spacing w:before="156" w:after="156"/>
        <w:rPr>
          <w:color w:val="auto"/>
          <w:highlight w:val="none"/>
        </w:rPr>
      </w:pPr>
      <w:bookmarkStart w:id="263" w:name="_Toc536295103"/>
      <w:r>
        <w:rPr>
          <w:color w:val="auto"/>
          <w:highlight w:val="none"/>
        </w:rPr>
        <w:t>4</w:t>
      </w:r>
      <w:r>
        <w:rPr>
          <w:rFonts w:hint="eastAsia"/>
          <w:color w:val="auto"/>
          <w:highlight w:val="none"/>
        </w:rPr>
        <w:t>.</w:t>
      </w:r>
      <w:r>
        <w:rPr>
          <w:color w:val="auto"/>
          <w:highlight w:val="none"/>
        </w:rPr>
        <w:t>6</w:t>
      </w:r>
      <w:r>
        <w:rPr>
          <w:rFonts w:hint="eastAsia"/>
          <w:color w:val="auto"/>
          <w:highlight w:val="none"/>
        </w:rPr>
        <w:t>.</w:t>
      </w:r>
      <w:r>
        <w:rPr>
          <w:color w:val="auto"/>
          <w:highlight w:val="none"/>
        </w:rPr>
        <w:t>2</w:t>
      </w:r>
      <w:r>
        <w:rPr>
          <w:rFonts w:hint="eastAsia"/>
          <w:color w:val="auto"/>
          <w:highlight w:val="none"/>
        </w:rPr>
        <w:t xml:space="preserve"> 渠道灌溉设计</w:t>
      </w:r>
      <w:r>
        <w:rPr>
          <w:color w:val="auto"/>
          <w:highlight w:val="none"/>
        </w:rPr>
        <w:t>流量</w:t>
      </w:r>
      <w:bookmarkEnd w:id="263"/>
    </w:p>
    <w:p>
      <w:pPr>
        <w:ind w:firstLine="480"/>
        <w:rPr>
          <w:rFonts w:hint="eastAsia"/>
          <w:color w:val="auto"/>
          <w:kern w:val="0"/>
          <w:highlight w:val="none"/>
          <w:lang w:eastAsia="zh-CN" w:bidi="en-US"/>
        </w:rPr>
      </w:pPr>
      <w:r>
        <w:rPr>
          <w:rFonts w:hint="eastAsia"/>
          <w:color w:val="auto"/>
          <w:kern w:val="0"/>
          <w:highlight w:val="none"/>
          <w:lang w:eastAsia="zh-CN" w:bidi="en-US"/>
        </w:rPr>
        <w:t>（1）渠道控制灌溉面积</w:t>
      </w:r>
    </w:p>
    <w:p>
      <w:pPr>
        <w:ind w:firstLine="480"/>
        <w:rPr>
          <w:rFonts w:hint="eastAsia"/>
          <w:color w:val="auto"/>
          <w:kern w:val="0"/>
          <w:highlight w:val="none"/>
          <w:lang w:eastAsia="zh-CN" w:bidi="en-US"/>
        </w:rPr>
      </w:pPr>
      <w:r>
        <w:rPr>
          <w:rFonts w:hint="eastAsia"/>
          <w:color w:val="auto"/>
          <w:kern w:val="0"/>
          <w:highlight w:val="none"/>
          <w:lang w:eastAsia="zh-CN" w:bidi="en-US"/>
        </w:rPr>
        <w:t>南大水库灌区干渠总长</w:t>
      </w:r>
      <w:r>
        <w:rPr>
          <w:rFonts w:hint="eastAsia"/>
          <w:color w:val="auto"/>
          <w:kern w:val="0"/>
          <w:highlight w:val="none"/>
          <w:lang w:val="en-US" w:eastAsia="zh-CN" w:bidi="en-US"/>
        </w:rPr>
        <w:t>38</w:t>
      </w:r>
      <w:r>
        <w:rPr>
          <w:rFonts w:hint="eastAsia"/>
          <w:color w:val="auto"/>
          <w:kern w:val="0"/>
          <w:highlight w:val="none"/>
          <w:lang w:eastAsia="zh-CN" w:bidi="en-US"/>
        </w:rPr>
        <w:t>km，本次渠道改造</w:t>
      </w:r>
      <w:r>
        <w:rPr>
          <w:rFonts w:hint="eastAsia"/>
          <w:b w:val="0"/>
          <w:bCs/>
          <w:color w:val="auto"/>
          <w:highlight w:val="none"/>
          <w:lang w:eastAsia="zh-CN"/>
        </w:rPr>
        <w:t>起点位于温泉镇桃莲村委后（桩号0+000），距离干渠渠首约5.5km，终点位于从莞深高速公路穿路箱涵进水口（桩号1+207），改造总长1207m</w:t>
      </w:r>
      <w:r>
        <w:rPr>
          <w:rFonts w:hint="eastAsia"/>
          <w:color w:val="auto"/>
          <w:kern w:val="0"/>
          <w:highlight w:val="none"/>
          <w:lang w:eastAsia="zh-CN" w:bidi="en-US"/>
        </w:rPr>
        <w:t>。根据工程所在位置及各镇街灌溉面积分布，渠道控制灌溉面积如下：</w:t>
      </w:r>
    </w:p>
    <w:p>
      <w:pPr>
        <w:pStyle w:val="333"/>
        <w:numPr>
          <w:ilvl w:val="0"/>
          <w:numId w:val="0"/>
        </w:numPr>
        <w:ind w:leftChars="0"/>
        <w:jc w:val="center"/>
        <w:rPr>
          <w:color w:val="auto"/>
          <w:highlight w:val="none"/>
        </w:rPr>
      </w:pPr>
      <w:r>
        <w:rPr>
          <w:rFonts w:hint="eastAsia"/>
          <w:color w:val="auto"/>
          <w:highlight w:val="none"/>
          <w:lang w:eastAsia="zh-CN"/>
        </w:rPr>
        <w:t>表</w:t>
      </w:r>
      <w:r>
        <w:rPr>
          <w:rFonts w:hint="eastAsia"/>
          <w:color w:val="auto"/>
          <w:highlight w:val="none"/>
          <w:lang w:val="en-US" w:eastAsia="zh-CN"/>
        </w:rPr>
        <w:t xml:space="preserve">4-3 </w:t>
      </w:r>
      <w:r>
        <w:rPr>
          <w:rFonts w:hint="eastAsia"/>
          <w:color w:val="auto"/>
          <w:highlight w:val="none"/>
          <w:lang w:eastAsia="zh-CN"/>
        </w:rPr>
        <w:t>南大水库</w:t>
      </w:r>
      <w:r>
        <w:rPr>
          <w:rFonts w:hint="eastAsia"/>
          <w:color w:val="auto"/>
          <w:highlight w:val="none"/>
        </w:rPr>
        <w:t>干渠控制灌溉面积</w:t>
      </w:r>
    </w:p>
    <w:tbl>
      <w:tblPr>
        <w:tblStyle w:val="47"/>
        <w:tblW w:w="87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25"/>
        <w:gridCol w:w="2925"/>
        <w:gridCol w:w="29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jc w:val="center"/>
        </w:trPr>
        <w:tc>
          <w:tcPr>
            <w:tcW w:w="2925" w:type="dxa"/>
            <w:shd w:val="clear" w:color="auto" w:fill="auto"/>
            <w:vAlign w:val="center"/>
          </w:tcPr>
          <w:p>
            <w:pPr>
              <w:pStyle w:val="272"/>
              <w:rPr>
                <w:color w:val="auto"/>
                <w:highlight w:val="none"/>
              </w:rPr>
            </w:pPr>
            <w:r>
              <w:rPr>
                <w:rFonts w:hint="eastAsia"/>
                <w:color w:val="auto"/>
                <w:highlight w:val="none"/>
              </w:rPr>
              <w:t>渠道桩号</w:t>
            </w:r>
          </w:p>
        </w:tc>
        <w:tc>
          <w:tcPr>
            <w:tcW w:w="2925" w:type="dxa"/>
            <w:shd w:val="clear" w:color="auto" w:fill="auto"/>
            <w:vAlign w:val="center"/>
          </w:tcPr>
          <w:p>
            <w:pPr>
              <w:pStyle w:val="272"/>
              <w:rPr>
                <w:color w:val="auto"/>
                <w:highlight w:val="none"/>
              </w:rPr>
            </w:pPr>
            <w:r>
              <w:rPr>
                <w:rFonts w:hint="eastAsia"/>
                <w:color w:val="auto"/>
                <w:highlight w:val="none"/>
              </w:rPr>
              <w:t>控制灌溉面积(亩</w:t>
            </w:r>
            <w:r>
              <w:rPr>
                <w:color w:val="auto"/>
                <w:highlight w:val="none"/>
              </w:rPr>
              <w:t>)</w:t>
            </w:r>
          </w:p>
        </w:tc>
        <w:tc>
          <w:tcPr>
            <w:tcW w:w="2927" w:type="dxa"/>
            <w:shd w:val="clear" w:color="auto" w:fill="auto"/>
            <w:vAlign w:val="center"/>
          </w:tcPr>
          <w:p>
            <w:pPr>
              <w:pStyle w:val="272"/>
              <w:rPr>
                <w:color w:val="auto"/>
                <w:highlight w:val="none"/>
              </w:rPr>
            </w:pPr>
            <w:r>
              <w:rPr>
                <w:rFonts w:hint="eastAsia"/>
                <w:color w:val="auto"/>
                <w:highlight w:val="none"/>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2925" w:type="dxa"/>
            <w:shd w:val="clear" w:color="auto" w:fill="auto"/>
            <w:vAlign w:val="center"/>
          </w:tcPr>
          <w:p>
            <w:pPr>
              <w:pStyle w:val="272"/>
              <w:rPr>
                <w:rFonts w:eastAsia="等线"/>
                <w:color w:val="auto"/>
                <w:highlight w:val="none"/>
              </w:rPr>
            </w:pPr>
            <w:r>
              <w:rPr>
                <w:rFonts w:eastAsia="等线"/>
                <w:color w:val="auto"/>
                <w:highlight w:val="none"/>
              </w:rPr>
              <w:t>0+000</w:t>
            </w:r>
          </w:p>
        </w:tc>
        <w:tc>
          <w:tcPr>
            <w:tcW w:w="2925" w:type="dxa"/>
            <w:shd w:val="clear" w:color="auto" w:fill="auto"/>
            <w:vAlign w:val="center"/>
          </w:tcPr>
          <w:p>
            <w:pPr>
              <w:pStyle w:val="272"/>
              <w:rPr>
                <w:rFonts w:hint="eastAsia" w:eastAsia="等线"/>
                <w:color w:val="auto"/>
                <w:highlight w:val="none"/>
                <w:lang w:eastAsia="zh-CN"/>
              </w:rPr>
            </w:pPr>
            <w:r>
              <w:rPr>
                <w:rFonts w:hint="eastAsia" w:eastAsia="等线"/>
                <w:color w:val="auto"/>
                <w:highlight w:val="none"/>
                <w:lang w:val="en-US" w:eastAsia="zh-CN"/>
              </w:rPr>
              <w:t>8300</w:t>
            </w:r>
          </w:p>
        </w:tc>
        <w:tc>
          <w:tcPr>
            <w:tcW w:w="2927" w:type="dxa"/>
            <w:shd w:val="clear" w:color="auto" w:fill="auto"/>
            <w:vAlign w:val="center"/>
          </w:tcPr>
          <w:p>
            <w:pPr>
              <w:pStyle w:val="272"/>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2925" w:type="dxa"/>
            <w:shd w:val="clear" w:color="auto" w:fill="auto"/>
            <w:vAlign w:val="center"/>
          </w:tcPr>
          <w:p>
            <w:pPr>
              <w:pStyle w:val="272"/>
              <w:rPr>
                <w:rFonts w:hint="default" w:eastAsia="等线"/>
                <w:color w:val="auto"/>
                <w:highlight w:val="none"/>
                <w:lang w:val="en-US" w:eastAsia="zh-CN"/>
              </w:rPr>
            </w:pPr>
            <w:r>
              <w:rPr>
                <w:rFonts w:hint="eastAsia" w:eastAsia="等线"/>
                <w:color w:val="auto"/>
                <w:highlight w:val="none"/>
                <w:lang w:val="en-US" w:eastAsia="zh-CN"/>
              </w:rPr>
              <w:t>1+207</w:t>
            </w:r>
          </w:p>
        </w:tc>
        <w:tc>
          <w:tcPr>
            <w:tcW w:w="2925" w:type="dxa"/>
            <w:shd w:val="clear" w:color="auto" w:fill="auto"/>
            <w:vAlign w:val="center"/>
          </w:tcPr>
          <w:p>
            <w:pPr>
              <w:pStyle w:val="272"/>
              <w:rPr>
                <w:rFonts w:hint="default" w:eastAsia="等线"/>
                <w:color w:val="auto"/>
                <w:highlight w:val="none"/>
                <w:lang w:val="en-US" w:eastAsia="zh-CN"/>
              </w:rPr>
            </w:pPr>
            <w:r>
              <w:rPr>
                <w:rFonts w:hint="eastAsia" w:eastAsia="等线"/>
                <w:color w:val="auto"/>
                <w:highlight w:val="none"/>
                <w:lang w:val="en-US" w:eastAsia="zh-CN"/>
              </w:rPr>
              <w:t>8300</w:t>
            </w:r>
          </w:p>
        </w:tc>
        <w:tc>
          <w:tcPr>
            <w:tcW w:w="2927" w:type="dxa"/>
            <w:shd w:val="clear" w:color="auto" w:fill="auto"/>
            <w:vAlign w:val="center"/>
          </w:tcPr>
          <w:p>
            <w:pPr>
              <w:pStyle w:val="272"/>
              <w:rPr>
                <w:color w:val="auto"/>
                <w:highlight w:val="none"/>
              </w:rPr>
            </w:pPr>
          </w:p>
        </w:tc>
      </w:tr>
    </w:tbl>
    <w:p>
      <w:pPr>
        <w:ind w:firstLine="480"/>
        <w:rPr>
          <w:rFonts w:hint="eastAsia"/>
          <w:color w:val="auto"/>
          <w:kern w:val="0"/>
          <w:highlight w:val="none"/>
          <w:lang w:eastAsia="zh-CN" w:bidi="en-US"/>
        </w:rPr>
      </w:pPr>
      <w:r>
        <w:rPr>
          <w:rFonts w:hint="eastAsia"/>
          <w:color w:val="auto"/>
          <w:kern w:val="0"/>
          <w:highlight w:val="none"/>
          <w:lang w:eastAsia="zh-CN" w:bidi="en-US"/>
        </w:rPr>
        <w:t>本工程现状及规划水平年相差较近，经与业主沟通后，各水平年下，本次渠道改造起点控制灌溉面积为</w:t>
      </w:r>
      <w:r>
        <w:rPr>
          <w:rFonts w:hint="eastAsia"/>
          <w:color w:val="auto"/>
          <w:kern w:val="0"/>
          <w:highlight w:val="none"/>
          <w:lang w:val="en-US" w:eastAsia="zh-CN" w:bidi="en-US"/>
        </w:rPr>
        <w:t>8300</w:t>
      </w:r>
      <w:r>
        <w:rPr>
          <w:rFonts w:hint="eastAsia"/>
          <w:color w:val="auto"/>
          <w:kern w:val="0"/>
          <w:highlight w:val="none"/>
          <w:lang w:eastAsia="zh-CN" w:bidi="en-US"/>
        </w:rPr>
        <w:t>亩。</w:t>
      </w:r>
    </w:p>
    <w:p>
      <w:pPr>
        <w:ind w:firstLine="480"/>
        <w:rPr>
          <w:color w:val="auto"/>
          <w:highlight w:val="none"/>
        </w:rPr>
      </w:pPr>
      <w:r>
        <w:rPr>
          <w:color w:val="auto"/>
          <w:highlight w:val="none"/>
        </w:rPr>
        <w:t>（2）灌溉</w:t>
      </w:r>
      <w:r>
        <w:rPr>
          <w:rFonts w:hint="eastAsia"/>
          <w:color w:val="auto"/>
          <w:highlight w:val="none"/>
        </w:rPr>
        <w:t>设计</w:t>
      </w:r>
      <w:r>
        <w:rPr>
          <w:color w:val="auto"/>
          <w:highlight w:val="none"/>
        </w:rPr>
        <w:t>流量</w:t>
      </w:r>
    </w:p>
    <w:p>
      <w:pPr>
        <w:ind w:firstLine="480"/>
        <w:rPr>
          <w:color w:val="auto"/>
          <w:highlight w:val="none"/>
        </w:rPr>
      </w:pPr>
      <w:r>
        <w:rPr>
          <w:color w:val="auto"/>
          <w:highlight w:val="none"/>
        </w:rPr>
        <w:t>根据《灌溉与排水工程设计规范》（GB50288-2018），本工程渠道毛灌溉流量计算公式为：</w:t>
      </w:r>
    </w:p>
    <w:p>
      <w:pPr>
        <w:ind w:firstLine="560"/>
        <w:rPr>
          <w:color w:val="auto"/>
          <w:sz w:val="28"/>
          <w:szCs w:val="28"/>
          <w:highlight w:val="none"/>
        </w:rPr>
      </w:pPr>
      <w:r>
        <w:rPr>
          <w:color w:val="auto"/>
          <w:sz w:val="28"/>
          <w:szCs w:val="28"/>
          <w:highlight w:val="none"/>
        </w:rPr>
        <w:t>Q=q*F/η</w:t>
      </w:r>
      <w:r>
        <w:rPr>
          <w:color w:val="auto"/>
          <w:sz w:val="28"/>
          <w:szCs w:val="28"/>
          <w:highlight w:val="none"/>
          <w:vertAlign w:val="subscript"/>
        </w:rPr>
        <w:t>水</w:t>
      </w:r>
    </w:p>
    <w:p>
      <w:pPr>
        <w:ind w:firstLine="480"/>
        <w:rPr>
          <w:color w:val="auto"/>
          <w:highlight w:val="none"/>
        </w:rPr>
      </w:pPr>
      <w:r>
        <w:rPr>
          <w:color w:val="auto"/>
          <w:highlight w:val="none"/>
        </w:rPr>
        <w:t>式中：Q — 毛灌溉流量，</w:t>
      </w:r>
      <w:r>
        <w:rPr>
          <w:rFonts w:hint="eastAsia"/>
          <w:color w:val="auto"/>
          <w:highlight w:val="none"/>
          <w:lang w:eastAsia="zh-CN"/>
        </w:rPr>
        <w:t>m³</w:t>
      </w:r>
      <w:r>
        <w:rPr>
          <w:color w:val="auto"/>
          <w:highlight w:val="none"/>
        </w:rPr>
        <w:t>/s；</w:t>
      </w:r>
    </w:p>
    <w:p>
      <w:pPr>
        <w:ind w:firstLine="480"/>
        <w:rPr>
          <w:color w:val="auto"/>
          <w:highlight w:val="none"/>
        </w:rPr>
      </w:pPr>
      <w:r>
        <w:rPr>
          <w:color w:val="auto"/>
          <w:highlight w:val="none"/>
        </w:rPr>
        <w:t>q — 设计净灌水率，</w:t>
      </w:r>
      <w:r>
        <w:rPr>
          <w:rFonts w:hint="eastAsia"/>
          <w:color w:val="auto"/>
          <w:highlight w:val="none"/>
          <w:lang w:eastAsia="zh-CN"/>
        </w:rPr>
        <w:t>m³</w:t>
      </w:r>
      <w:r>
        <w:rPr>
          <w:color w:val="auto"/>
          <w:highlight w:val="none"/>
        </w:rPr>
        <w:t>/s/万亩；</w:t>
      </w:r>
    </w:p>
    <w:p>
      <w:pPr>
        <w:ind w:firstLine="480"/>
        <w:rPr>
          <w:color w:val="auto"/>
          <w:highlight w:val="none"/>
        </w:rPr>
      </w:pPr>
      <w:r>
        <w:rPr>
          <w:color w:val="auto"/>
          <w:highlight w:val="none"/>
        </w:rPr>
        <w:t>F — 灌溉面积，万亩；</w:t>
      </w:r>
    </w:p>
    <w:p>
      <w:pPr>
        <w:ind w:firstLine="480"/>
        <w:rPr>
          <w:color w:val="auto"/>
          <w:highlight w:val="none"/>
        </w:rPr>
      </w:pPr>
      <w:r>
        <w:rPr>
          <w:color w:val="auto"/>
          <w:highlight w:val="none"/>
        </w:rPr>
        <w:t>η</w:t>
      </w:r>
      <w:r>
        <w:rPr>
          <w:color w:val="auto"/>
          <w:highlight w:val="none"/>
          <w:vertAlign w:val="subscript"/>
        </w:rPr>
        <w:t xml:space="preserve">水 </w:t>
      </w:r>
      <w:r>
        <w:rPr>
          <w:color w:val="auto"/>
          <w:highlight w:val="none"/>
        </w:rPr>
        <w:t>— 灌溉水利用系数。</w:t>
      </w:r>
    </w:p>
    <w:p>
      <w:pPr>
        <w:ind w:firstLine="480"/>
        <w:rPr>
          <w:color w:val="auto"/>
          <w:highlight w:val="none"/>
        </w:rPr>
      </w:pPr>
      <w:r>
        <w:rPr>
          <w:rFonts w:hint="eastAsia"/>
          <w:color w:val="auto"/>
          <w:highlight w:val="none"/>
        </w:rPr>
        <w:t>经计算，</w:t>
      </w:r>
      <w:r>
        <w:rPr>
          <w:color w:val="auto"/>
          <w:highlight w:val="none"/>
        </w:rPr>
        <w:t>设计流量</w:t>
      </w:r>
      <w:r>
        <w:rPr>
          <w:rFonts w:hint="eastAsia"/>
          <w:color w:val="auto"/>
          <w:highlight w:val="none"/>
        </w:rPr>
        <w:t>为</w:t>
      </w:r>
      <w:r>
        <w:rPr>
          <w:rFonts w:hint="eastAsia"/>
          <w:color w:val="auto"/>
          <w:highlight w:val="none"/>
          <w:lang w:val="en-US" w:eastAsia="zh-CN"/>
        </w:rPr>
        <w:t>1.46</w:t>
      </w:r>
      <w:r>
        <w:rPr>
          <w:rFonts w:hint="eastAsia"/>
          <w:color w:val="auto"/>
          <w:highlight w:val="none"/>
          <w:lang w:eastAsia="zh-CN"/>
        </w:rPr>
        <w:t>m³</w:t>
      </w:r>
      <w:r>
        <w:rPr>
          <w:color w:val="auto"/>
          <w:highlight w:val="none"/>
        </w:rPr>
        <w:t>/s。</w:t>
      </w:r>
    </w:p>
    <w:p>
      <w:pPr>
        <w:ind w:firstLine="480"/>
        <w:rPr>
          <w:color w:val="auto"/>
          <w:highlight w:val="none"/>
        </w:rPr>
      </w:pPr>
      <w:r>
        <w:rPr>
          <w:rFonts w:hint="eastAsia"/>
          <w:color w:val="auto"/>
          <w:highlight w:val="none"/>
        </w:rPr>
        <w:t>（</w:t>
      </w:r>
      <w:r>
        <w:rPr>
          <w:color w:val="auto"/>
          <w:highlight w:val="none"/>
        </w:rPr>
        <w:t>3</w:t>
      </w:r>
      <w:r>
        <w:rPr>
          <w:rFonts w:hint="eastAsia"/>
          <w:color w:val="auto"/>
          <w:highlight w:val="none"/>
        </w:rPr>
        <w:t>）渠道</w:t>
      </w:r>
      <w:r>
        <w:rPr>
          <w:color w:val="auto"/>
          <w:highlight w:val="none"/>
        </w:rPr>
        <w:t>加大流量</w:t>
      </w:r>
    </w:p>
    <w:p>
      <w:pPr>
        <w:ind w:firstLine="480"/>
        <w:rPr>
          <w:color w:val="auto"/>
          <w:highlight w:val="none"/>
        </w:rPr>
      </w:pPr>
      <w:r>
        <w:rPr>
          <w:color w:val="auto"/>
          <w:highlight w:val="none"/>
        </w:rPr>
        <w:t>根据《灌溉与排水工程设计</w:t>
      </w:r>
      <w:r>
        <w:rPr>
          <w:rFonts w:hint="eastAsia"/>
          <w:color w:val="auto"/>
          <w:highlight w:val="none"/>
        </w:rPr>
        <w:t>标准</w:t>
      </w:r>
      <w:r>
        <w:rPr>
          <w:color w:val="auto"/>
          <w:highlight w:val="none"/>
        </w:rPr>
        <w:t>》（GB50288-2018），渠道加大流量=灌溉</w:t>
      </w:r>
      <w:r>
        <w:rPr>
          <w:rFonts w:hint="eastAsia"/>
          <w:color w:val="auto"/>
          <w:highlight w:val="none"/>
        </w:rPr>
        <w:t>设计</w:t>
      </w:r>
      <w:r>
        <w:rPr>
          <w:color w:val="auto"/>
          <w:highlight w:val="none"/>
        </w:rPr>
        <w:t>流量×（1+加大百分数），其中，当灌溉</w:t>
      </w:r>
      <w:r>
        <w:rPr>
          <w:rFonts w:hint="eastAsia"/>
          <w:color w:val="auto"/>
          <w:highlight w:val="none"/>
        </w:rPr>
        <w:t>设计</w:t>
      </w:r>
      <w:r>
        <w:rPr>
          <w:color w:val="auto"/>
          <w:highlight w:val="none"/>
        </w:rPr>
        <w:t>流量</w:t>
      </w:r>
      <w:r>
        <w:rPr>
          <w:rFonts w:hint="eastAsia"/>
          <w:color w:val="auto"/>
          <w:highlight w:val="none"/>
        </w:rPr>
        <w:t>为</w:t>
      </w:r>
      <w:r>
        <w:rPr>
          <w:color w:val="auto"/>
          <w:highlight w:val="none"/>
        </w:rPr>
        <w:t>1~5</w:t>
      </w:r>
      <w:r>
        <w:rPr>
          <w:rFonts w:hint="eastAsia"/>
          <w:color w:val="auto"/>
          <w:highlight w:val="none"/>
          <w:lang w:eastAsia="zh-CN"/>
        </w:rPr>
        <w:t>m³</w:t>
      </w:r>
      <w:r>
        <w:rPr>
          <w:color w:val="auto"/>
          <w:highlight w:val="none"/>
        </w:rPr>
        <w:t>/s时，加大百分数为30~25%</w:t>
      </w:r>
      <w:r>
        <w:rPr>
          <w:rFonts w:hint="eastAsia"/>
          <w:color w:val="auto"/>
          <w:highlight w:val="none"/>
        </w:rPr>
        <w:t>。因此</w:t>
      </w:r>
      <w:r>
        <w:rPr>
          <w:color w:val="auto"/>
          <w:highlight w:val="none"/>
        </w:rPr>
        <w:t>，本工程加大百分数取30%</w:t>
      </w:r>
      <w:r>
        <w:rPr>
          <w:rFonts w:hint="eastAsia"/>
          <w:color w:val="auto"/>
          <w:highlight w:val="none"/>
        </w:rPr>
        <w:t>，加大</w:t>
      </w:r>
      <w:r>
        <w:rPr>
          <w:color w:val="auto"/>
          <w:highlight w:val="none"/>
        </w:rPr>
        <w:t>设计流量</w:t>
      </w:r>
      <w:r>
        <w:rPr>
          <w:rFonts w:hint="eastAsia"/>
          <w:color w:val="auto"/>
          <w:highlight w:val="none"/>
        </w:rPr>
        <w:t>为</w:t>
      </w:r>
      <w:r>
        <w:rPr>
          <w:rFonts w:hint="eastAsia"/>
          <w:color w:val="auto"/>
          <w:highlight w:val="none"/>
          <w:lang w:val="en-US" w:eastAsia="zh-CN"/>
        </w:rPr>
        <w:t>1.90</w:t>
      </w:r>
      <w:r>
        <w:rPr>
          <w:rFonts w:hint="eastAsia"/>
          <w:color w:val="auto"/>
          <w:highlight w:val="none"/>
          <w:lang w:eastAsia="zh-CN"/>
        </w:rPr>
        <w:t>m³</w:t>
      </w:r>
      <w:r>
        <w:rPr>
          <w:color w:val="auto"/>
          <w:highlight w:val="none"/>
        </w:rPr>
        <w:t>/s。</w:t>
      </w:r>
    </w:p>
    <w:p>
      <w:pPr>
        <w:ind w:firstLine="480"/>
        <w:rPr>
          <w:color w:val="auto"/>
          <w:highlight w:val="none"/>
        </w:rPr>
      </w:pPr>
      <w:r>
        <w:rPr>
          <w:rFonts w:hint="eastAsia"/>
          <w:color w:val="auto"/>
          <w:highlight w:val="none"/>
        </w:rPr>
        <w:t>（4）渠道</w:t>
      </w:r>
      <w:r>
        <w:rPr>
          <w:color w:val="auto"/>
          <w:highlight w:val="none"/>
        </w:rPr>
        <w:t>最小流量</w:t>
      </w:r>
    </w:p>
    <w:p>
      <w:pPr>
        <w:ind w:firstLine="480"/>
        <w:rPr>
          <w:color w:val="auto"/>
          <w:highlight w:val="none"/>
        </w:rPr>
      </w:pPr>
      <w:r>
        <w:rPr>
          <w:rFonts w:hint="eastAsia"/>
          <w:color w:val="auto"/>
          <w:highlight w:val="none"/>
        </w:rPr>
        <w:t>根据</w:t>
      </w:r>
      <w:r>
        <w:rPr>
          <w:color w:val="auto"/>
          <w:highlight w:val="none"/>
        </w:rPr>
        <w:t>《灌溉与排水工程设计</w:t>
      </w:r>
      <w:r>
        <w:rPr>
          <w:rFonts w:hint="eastAsia"/>
          <w:color w:val="auto"/>
          <w:highlight w:val="none"/>
        </w:rPr>
        <w:t>标准</w:t>
      </w:r>
      <w:r>
        <w:rPr>
          <w:color w:val="auto"/>
          <w:highlight w:val="none"/>
        </w:rPr>
        <w:t>》（GB50288-2018）</w:t>
      </w:r>
      <w:r>
        <w:rPr>
          <w:rFonts w:hint="eastAsia"/>
          <w:color w:val="auto"/>
          <w:highlight w:val="none"/>
        </w:rPr>
        <w:t>，</w:t>
      </w:r>
      <w:r>
        <w:rPr>
          <w:color w:val="auto"/>
          <w:highlight w:val="none"/>
        </w:rPr>
        <w:t>续灌渠道的最小流量不宜</w:t>
      </w:r>
      <w:r>
        <w:rPr>
          <w:rFonts w:hint="eastAsia"/>
          <w:color w:val="auto"/>
          <w:highlight w:val="none"/>
        </w:rPr>
        <w:t>小于灌溉</w:t>
      </w:r>
      <w:r>
        <w:rPr>
          <w:color w:val="auto"/>
          <w:highlight w:val="none"/>
        </w:rPr>
        <w:t>设计流量的</w:t>
      </w:r>
      <w:r>
        <w:rPr>
          <w:rFonts w:hint="eastAsia"/>
          <w:color w:val="auto"/>
          <w:highlight w:val="none"/>
        </w:rPr>
        <w:t>40</w:t>
      </w:r>
      <w:r>
        <w:rPr>
          <w:color w:val="auto"/>
          <w:highlight w:val="none"/>
        </w:rPr>
        <w:t>%</w:t>
      </w:r>
      <w:r>
        <w:rPr>
          <w:rFonts w:hint="eastAsia"/>
          <w:color w:val="auto"/>
          <w:highlight w:val="none"/>
        </w:rPr>
        <w:t>，因此</w:t>
      </w:r>
      <w:r>
        <w:rPr>
          <w:color w:val="auto"/>
          <w:highlight w:val="none"/>
        </w:rPr>
        <w:t>，本工程</w:t>
      </w:r>
      <w:r>
        <w:rPr>
          <w:rFonts w:hint="eastAsia"/>
          <w:color w:val="auto"/>
          <w:highlight w:val="none"/>
        </w:rPr>
        <w:t>最小</w:t>
      </w:r>
      <w:r>
        <w:rPr>
          <w:color w:val="auto"/>
          <w:highlight w:val="none"/>
        </w:rPr>
        <w:t>设计流量</w:t>
      </w:r>
      <w:r>
        <w:rPr>
          <w:rFonts w:hint="eastAsia"/>
          <w:color w:val="auto"/>
          <w:highlight w:val="none"/>
        </w:rPr>
        <w:t>为</w:t>
      </w:r>
      <w:r>
        <w:rPr>
          <w:rFonts w:hint="eastAsia"/>
          <w:color w:val="auto"/>
          <w:highlight w:val="none"/>
          <w:lang w:val="en-US" w:eastAsia="zh-CN"/>
        </w:rPr>
        <w:t>0.58</w:t>
      </w:r>
      <w:r>
        <w:rPr>
          <w:rFonts w:hint="eastAsia"/>
          <w:color w:val="auto"/>
          <w:highlight w:val="none"/>
          <w:lang w:eastAsia="zh-CN"/>
        </w:rPr>
        <w:t>m³</w:t>
      </w:r>
      <w:r>
        <w:rPr>
          <w:color w:val="auto"/>
          <w:highlight w:val="none"/>
        </w:rPr>
        <w:t>/s。</w:t>
      </w:r>
    </w:p>
    <w:p>
      <w:pPr>
        <w:pStyle w:val="335"/>
        <w:spacing w:before="156" w:after="156"/>
        <w:rPr>
          <w:color w:val="auto"/>
          <w:highlight w:val="none"/>
        </w:rPr>
      </w:pPr>
      <w:bookmarkStart w:id="264" w:name="_Toc536295104"/>
      <w:r>
        <w:rPr>
          <w:color w:val="auto"/>
          <w:highlight w:val="none"/>
        </w:rPr>
        <w:t>4</w:t>
      </w:r>
      <w:r>
        <w:rPr>
          <w:rFonts w:hint="eastAsia"/>
          <w:color w:val="auto"/>
          <w:highlight w:val="none"/>
        </w:rPr>
        <w:t>.</w:t>
      </w:r>
      <w:r>
        <w:rPr>
          <w:color w:val="auto"/>
          <w:highlight w:val="none"/>
        </w:rPr>
        <w:t>6</w:t>
      </w:r>
      <w:r>
        <w:rPr>
          <w:rFonts w:hint="eastAsia"/>
          <w:color w:val="auto"/>
          <w:highlight w:val="none"/>
        </w:rPr>
        <w:t>.3 渠道设计规模</w:t>
      </w:r>
      <w:bookmarkEnd w:id="264"/>
    </w:p>
    <w:p>
      <w:pPr>
        <w:ind w:firstLine="480"/>
        <w:rPr>
          <w:color w:val="auto"/>
          <w:highlight w:val="none"/>
        </w:rPr>
      </w:pPr>
      <w:r>
        <w:rPr>
          <w:rFonts w:hint="eastAsia"/>
          <w:color w:val="auto"/>
          <w:highlight w:val="none"/>
        </w:rPr>
        <w:t>由于干渠渠道为</w:t>
      </w:r>
      <w:r>
        <w:rPr>
          <w:color w:val="auto"/>
          <w:highlight w:val="none"/>
        </w:rPr>
        <w:t>灌溉、排涝结合的渠道（</w:t>
      </w:r>
      <w:r>
        <w:rPr>
          <w:rFonts w:hint="eastAsia"/>
          <w:color w:val="auto"/>
          <w:highlight w:val="none"/>
        </w:rPr>
        <w:t>段</w:t>
      </w:r>
      <w:r>
        <w:rPr>
          <w:color w:val="auto"/>
          <w:highlight w:val="none"/>
        </w:rPr>
        <w:t>）</w:t>
      </w:r>
      <w:r>
        <w:rPr>
          <w:rFonts w:hint="eastAsia"/>
          <w:color w:val="auto"/>
          <w:highlight w:val="none"/>
        </w:rPr>
        <w:t>，其渠道规模</w:t>
      </w:r>
      <w:r>
        <w:rPr>
          <w:color w:val="auto"/>
          <w:highlight w:val="none"/>
        </w:rPr>
        <w:t>宜</w:t>
      </w:r>
      <w:r>
        <w:rPr>
          <w:rFonts w:hint="eastAsia"/>
          <w:color w:val="auto"/>
          <w:highlight w:val="none"/>
        </w:rPr>
        <w:t>综合</w:t>
      </w:r>
      <w:r>
        <w:rPr>
          <w:color w:val="auto"/>
          <w:highlight w:val="none"/>
        </w:rPr>
        <w:t>考虑</w:t>
      </w:r>
      <w:r>
        <w:rPr>
          <w:rFonts w:hint="eastAsia"/>
          <w:color w:val="auto"/>
          <w:highlight w:val="none"/>
        </w:rPr>
        <w:t>灌溉</w:t>
      </w:r>
      <w:r>
        <w:rPr>
          <w:color w:val="auto"/>
          <w:highlight w:val="none"/>
        </w:rPr>
        <w:t>及排涝要求，</w:t>
      </w:r>
      <w:r>
        <w:rPr>
          <w:rFonts w:hint="eastAsia"/>
          <w:color w:val="auto"/>
          <w:highlight w:val="none"/>
        </w:rPr>
        <w:t>设计流量</w:t>
      </w:r>
      <w:r>
        <w:rPr>
          <w:color w:val="auto"/>
          <w:highlight w:val="none"/>
        </w:rPr>
        <w:t>按照灌溉加大流量</w:t>
      </w:r>
      <w:r>
        <w:rPr>
          <w:rFonts w:hint="eastAsia"/>
          <w:color w:val="auto"/>
          <w:highlight w:val="none"/>
        </w:rPr>
        <w:t>、排涝流量的较大值进行</w:t>
      </w:r>
      <w:r>
        <w:rPr>
          <w:color w:val="auto"/>
          <w:highlight w:val="none"/>
        </w:rPr>
        <w:t>确定</w:t>
      </w:r>
      <w:r>
        <w:rPr>
          <w:rFonts w:hint="eastAsia"/>
          <w:color w:val="auto"/>
          <w:highlight w:val="none"/>
        </w:rPr>
        <w:t>，</w:t>
      </w:r>
      <w:r>
        <w:rPr>
          <w:color w:val="auto"/>
          <w:highlight w:val="none"/>
        </w:rPr>
        <w:t>具体如下：</w:t>
      </w:r>
    </w:p>
    <w:p>
      <w:pPr>
        <w:pStyle w:val="333"/>
        <w:numPr>
          <w:ilvl w:val="0"/>
          <w:numId w:val="0"/>
        </w:numPr>
        <w:ind w:leftChars="0"/>
        <w:jc w:val="center"/>
        <w:rPr>
          <w:rFonts w:hint="eastAsia"/>
          <w:color w:val="auto"/>
          <w:highlight w:val="none"/>
          <w:lang w:eastAsia="zh-CN"/>
        </w:rPr>
      </w:pPr>
    </w:p>
    <w:p>
      <w:pPr>
        <w:pStyle w:val="333"/>
        <w:numPr>
          <w:ilvl w:val="0"/>
          <w:numId w:val="0"/>
        </w:numPr>
        <w:ind w:leftChars="0"/>
        <w:jc w:val="center"/>
        <w:rPr>
          <w:rFonts w:hint="eastAsia"/>
          <w:color w:val="auto"/>
          <w:highlight w:val="none"/>
          <w:lang w:eastAsia="zh-CN"/>
        </w:rPr>
      </w:pPr>
    </w:p>
    <w:p>
      <w:pPr>
        <w:pStyle w:val="333"/>
        <w:numPr>
          <w:ilvl w:val="0"/>
          <w:numId w:val="0"/>
        </w:numPr>
        <w:ind w:leftChars="0"/>
        <w:jc w:val="center"/>
        <w:rPr>
          <w:rFonts w:hint="eastAsia"/>
          <w:color w:val="auto"/>
          <w:highlight w:val="none"/>
          <w:lang w:eastAsia="zh-CN"/>
        </w:rPr>
      </w:pPr>
    </w:p>
    <w:p>
      <w:pPr>
        <w:pStyle w:val="333"/>
        <w:numPr>
          <w:ilvl w:val="0"/>
          <w:numId w:val="0"/>
        </w:numPr>
        <w:ind w:leftChars="0"/>
        <w:jc w:val="center"/>
        <w:rPr>
          <w:rFonts w:hint="eastAsia"/>
          <w:color w:val="auto"/>
          <w:highlight w:val="none"/>
          <w:lang w:eastAsia="zh-CN"/>
        </w:rPr>
      </w:pPr>
    </w:p>
    <w:p>
      <w:pPr>
        <w:pStyle w:val="333"/>
        <w:numPr>
          <w:ilvl w:val="0"/>
          <w:numId w:val="0"/>
        </w:numPr>
        <w:ind w:leftChars="0"/>
        <w:jc w:val="center"/>
        <w:rPr>
          <w:rFonts w:hint="eastAsia"/>
          <w:color w:val="auto"/>
          <w:highlight w:val="none"/>
        </w:rPr>
      </w:pPr>
      <w:r>
        <w:rPr>
          <w:rFonts w:hint="eastAsia"/>
          <w:color w:val="auto"/>
          <w:highlight w:val="none"/>
          <w:lang w:eastAsia="zh-CN"/>
        </w:rPr>
        <w:t>表</w:t>
      </w:r>
      <w:r>
        <w:rPr>
          <w:rFonts w:hint="eastAsia"/>
          <w:color w:val="auto"/>
          <w:highlight w:val="none"/>
          <w:lang w:val="en-US" w:eastAsia="zh-CN"/>
        </w:rPr>
        <w:t xml:space="preserve">4-5 </w:t>
      </w:r>
      <w:r>
        <w:rPr>
          <w:rFonts w:hint="eastAsia"/>
          <w:color w:val="auto"/>
          <w:highlight w:val="none"/>
          <w:lang w:eastAsia="zh-CN"/>
        </w:rPr>
        <w:t>南大水库灌区干渠</w:t>
      </w:r>
      <w:r>
        <w:rPr>
          <w:rFonts w:hint="eastAsia"/>
          <w:color w:val="auto"/>
          <w:highlight w:val="none"/>
        </w:rPr>
        <w:t>设计流量复核</w:t>
      </w:r>
    </w:p>
    <w:tbl>
      <w:tblPr>
        <w:tblStyle w:val="47"/>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0"/>
        <w:gridCol w:w="1345"/>
        <w:gridCol w:w="1531"/>
        <w:gridCol w:w="1531"/>
        <w:gridCol w:w="26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jc w:val="center"/>
        </w:trPr>
        <w:tc>
          <w:tcPr>
            <w:tcW w:w="1490"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textAlignment w:val="auto"/>
              <w:rPr>
                <w:color w:val="auto"/>
                <w:highlight w:val="none"/>
              </w:rPr>
            </w:pPr>
            <w:r>
              <w:rPr>
                <w:rFonts w:hint="eastAsia"/>
                <w:color w:val="auto"/>
                <w:highlight w:val="none"/>
              </w:rPr>
              <w:t>渠道</w:t>
            </w:r>
          </w:p>
          <w:p>
            <w:pPr>
              <w:pStyle w:val="272"/>
              <w:keepNext w:val="0"/>
              <w:keepLines w:val="0"/>
              <w:pageBreakBefore w:val="0"/>
              <w:widowControl/>
              <w:kinsoku/>
              <w:wordWrap/>
              <w:overflowPunct/>
              <w:topLinePunct w:val="0"/>
              <w:autoSpaceDE/>
              <w:autoSpaceDN/>
              <w:bidi w:val="0"/>
              <w:adjustRightInd/>
              <w:snapToGrid/>
              <w:spacing w:line="240" w:lineRule="auto"/>
              <w:textAlignment w:val="auto"/>
              <w:rPr>
                <w:color w:val="auto"/>
                <w:highlight w:val="none"/>
              </w:rPr>
            </w:pPr>
            <w:r>
              <w:rPr>
                <w:rFonts w:hint="eastAsia"/>
                <w:color w:val="auto"/>
                <w:highlight w:val="none"/>
              </w:rPr>
              <w:t>桩号</w:t>
            </w:r>
          </w:p>
        </w:tc>
        <w:tc>
          <w:tcPr>
            <w:tcW w:w="1345" w:type="dxa"/>
            <w:vAlign w:val="center"/>
          </w:tcPr>
          <w:p>
            <w:pPr>
              <w:pStyle w:val="272"/>
              <w:keepNext w:val="0"/>
              <w:keepLines w:val="0"/>
              <w:pageBreakBefore w:val="0"/>
              <w:widowControl/>
              <w:kinsoku/>
              <w:wordWrap/>
              <w:overflowPunct/>
              <w:topLinePunct w:val="0"/>
              <w:autoSpaceDE/>
              <w:autoSpaceDN/>
              <w:bidi w:val="0"/>
              <w:adjustRightInd/>
              <w:snapToGrid/>
              <w:spacing w:line="240" w:lineRule="auto"/>
              <w:textAlignment w:val="auto"/>
              <w:rPr>
                <w:color w:val="auto"/>
                <w:highlight w:val="none"/>
              </w:rPr>
            </w:pPr>
            <w:r>
              <w:rPr>
                <w:rFonts w:hint="eastAsia"/>
                <w:color w:val="auto"/>
                <w:highlight w:val="none"/>
              </w:rPr>
              <w:t>控制</w:t>
            </w:r>
            <w:r>
              <w:rPr>
                <w:color w:val="auto"/>
                <w:highlight w:val="none"/>
              </w:rPr>
              <w:t>灌溉面积</w:t>
            </w:r>
            <w:r>
              <w:rPr>
                <w:rFonts w:hint="eastAsia"/>
                <w:color w:val="auto"/>
                <w:highlight w:val="none"/>
              </w:rPr>
              <w:t>(亩</w:t>
            </w:r>
            <w:r>
              <w:rPr>
                <w:color w:val="auto"/>
                <w:highlight w:val="none"/>
              </w:rPr>
              <w:t>)</w:t>
            </w:r>
          </w:p>
        </w:tc>
        <w:tc>
          <w:tcPr>
            <w:tcW w:w="1531" w:type="dxa"/>
            <w:vAlign w:val="center"/>
          </w:tcPr>
          <w:p>
            <w:pPr>
              <w:pStyle w:val="272"/>
              <w:keepNext w:val="0"/>
              <w:keepLines w:val="0"/>
              <w:pageBreakBefore w:val="0"/>
              <w:widowControl/>
              <w:kinsoku/>
              <w:wordWrap/>
              <w:overflowPunct/>
              <w:topLinePunct w:val="0"/>
              <w:autoSpaceDE/>
              <w:autoSpaceDN/>
              <w:bidi w:val="0"/>
              <w:adjustRightInd/>
              <w:snapToGrid/>
              <w:spacing w:line="240" w:lineRule="auto"/>
              <w:textAlignment w:val="auto"/>
              <w:rPr>
                <w:color w:val="auto"/>
                <w:highlight w:val="none"/>
              </w:rPr>
            </w:pPr>
            <w:r>
              <w:rPr>
                <w:rFonts w:hint="eastAsia"/>
                <w:color w:val="auto"/>
                <w:highlight w:val="none"/>
              </w:rPr>
              <w:t>加大灌溉流量(</w:t>
            </w:r>
            <w:r>
              <w:rPr>
                <w:rFonts w:hint="eastAsia"/>
                <w:color w:val="auto"/>
                <w:highlight w:val="none"/>
                <w:lang w:eastAsia="zh-CN"/>
              </w:rPr>
              <w:t>m³</w:t>
            </w:r>
            <w:r>
              <w:rPr>
                <w:color w:val="auto"/>
                <w:highlight w:val="none"/>
              </w:rPr>
              <w:t>/s)</w:t>
            </w:r>
          </w:p>
        </w:tc>
        <w:tc>
          <w:tcPr>
            <w:tcW w:w="1531"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textAlignment w:val="auto"/>
              <w:rPr>
                <w:color w:val="auto"/>
                <w:highlight w:val="none"/>
              </w:rPr>
            </w:pPr>
            <w:r>
              <w:rPr>
                <w:rFonts w:hint="eastAsia"/>
                <w:color w:val="auto"/>
                <w:highlight w:val="none"/>
              </w:rPr>
              <w:t>部分渠段排水流量(</w:t>
            </w:r>
            <w:r>
              <w:rPr>
                <w:rFonts w:hint="eastAsia"/>
                <w:color w:val="auto"/>
                <w:highlight w:val="none"/>
                <w:lang w:eastAsia="zh-CN"/>
              </w:rPr>
              <w:t>m³</w:t>
            </w:r>
            <w:r>
              <w:rPr>
                <w:color w:val="auto"/>
                <w:highlight w:val="none"/>
              </w:rPr>
              <w:t>/s)</w:t>
            </w:r>
          </w:p>
        </w:tc>
        <w:tc>
          <w:tcPr>
            <w:tcW w:w="2608"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textAlignment w:val="auto"/>
              <w:rPr>
                <w:color w:val="auto"/>
                <w:highlight w:val="none"/>
              </w:rPr>
            </w:pPr>
            <w:r>
              <w:rPr>
                <w:rFonts w:hint="eastAsia"/>
                <w:color w:val="auto"/>
                <w:highlight w:val="none"/>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490"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hint="default" w:eastAsia="等线"/>
                <w:color w:val="auto"/>
                <w:highlight w:val="none"/>
                <w:lang w:val="en-US" w:eastAsia="zh-CN"/>
              </w:rPr>
            </w:pPr>
            <w:r>
              <w:rPr>
                <w:rFonts w:eastAsia="等线"/>
                <w:color w:val="auto"/>
                <w:highlight w:val="none"/>
              </w:rPr>
              <w:t>0+000</w:t>
            </w:r>
            <w:r>
              <w:rPr>
                <w:rFonts w:hint="eastAsia" w:eastAsia="等线"/>
                <w:color w:val="auto"/>
                <w:highlight w:val="none"/>
                <w:lang w:val="en-US" w:eastAsia="zh-CN"/>
              </w:rPr>
              <w:t>~0+100</w:t>
            </w:r>
          </w:p>
        </w:tc>
        <w:tc>
          <w:tcPr>
            <w:tcW w:w="1345"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eastAsia="等线"/>
                <w:color w:val="auto"/>
                <w:highlight w:val="none"/>
              </w:rPr>
            </w:pPr>
            <w:r>
              <w:rPr>
                <w:rFonts w:hint="eastAsia" w:eastAsia="等线"/>
                <w:color w:val="auto"/>
                <w:highlight w:val="none"/>
                <w:lang w:val="en-US" w:eastAsia="zh-CN"/>
              </w:rPr>
              <w:t>8300</w:t>
            </w:r>
          </w:p>
        </w:tc>
        <w:tc>
          <w:tcPr>
            <w:tcW w:w="1531" w:type="dxa"/>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eastAsia="等线"/>
                <w:color w:val="auto"/>
                <w:sz w:val="21"/>
                <w:szCs w:val="21"/>
                <w:highlight w:val="none"/>
                <w:lang w:eastAsia="zh-CN"/>
              </w:rPr>
            </w:pPr>
            <w:r>
              <w:rPr>
                <w:rFonts w:hint="eastAsia" w:eastAsia="等线"/>
                <w:color w:val="auto"/>
                <w:sz w:val="21"/>
                <w:szCs w:val="21"/>
                <w:highlight w:val="none"/>
                <w:lang w:val="en-US" w:eastAsia="zh-CN"/>
              </w:rPr>
              <w:t>1.90</w:t>
            </w:r>
          </w:p>
        </w:tc>
        <w:tc>
          <w:tcPr>
            <w:tcW w:w="153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eastAsia="等线"/>
                <w:color w:val="auto"/>
                <w:highlight w:val="none"/>
                <w:lang w:eastAsia="zh-CN"/>
              </w:rPr>
            </w:pPr>
            <w:r>
              <w:rPr>
                <w:rFonts w:hint="eastAsia"/>
                <w:color w:val="auto"/>
                <w:sz w:val="21"/>
                <w:szCs w:val="22"/>
                <w:highlight w:val="none"/>
                <w:lang w:val="en-US" w:eastAsia="zh-CN"/>
              </w:rPr>
              <w:t>2.21</w:t>
            </w:r>
          </w:p>
        </w:tc>
        <w:tc>
          <w:tcPr>
            <w:tcW w:w="2608"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hint="default" w:eastAsia="宋体"/>
                <w:color w:val="auto"/>
                <w:highlight w:val="none"/>
                <w:lang w:val="en-US" w:eastAsia="zh-CN"/>
              </w:rPr>
            </w:pPr>
            <w:r>
              <w:rPr>
                <w:rFonts w:hint="eastAsia"/>
                <w:color w:val="auto"/>
                <w:highlight w:val="none"/>
                <w:lang w:val="en-US" w:eastAsia="zh-CN"/>
              </w:rPr>
              <w:t>本工程渠道起点接上游已改造的三面光渠道。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490"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hint="default" w:eastAsia="等线"/>
                <w:color w:val="auto"/>
                <w:highlight w:val="none"/>
                <w:lang w:val="en-US"/>
              </w:rPr>
            </w:pPr>
            <w:r>
              <w:rPr>
                <w:rFonts w:hint="eastAsia" w:eastAsia="等线"/>
                <w:color w:val="auto"/>
                <w:highlight w:val="none"/>
                <w:lang w:val="en-US" w:eastAsia="zh-CN"/>
              </w:rPr>
              <w:t>0+100~1+000</w:t>
            </w:r>
          </w:p>
        </w:tc>
        <w:tc>
          <w:tcPr>
            <w:tcW w:w="1345"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hint="default" w:eastAsia="等线"/>
                <w:color w:val="auto"/>
                <w:highlight w:val="none"/>
                <w:lang w:val="en-US"/>
              </w:rPr>
            </w:pPr>
            <w:r>
              <w:rPr>
                <w:rFonts w:hint="eastAsia" w:eastAsia="等线"/>
                <w:color w:val="auto"/>
                <w:highlight w:val="none"/>
                <w:lang w:val="en-US" w:eastAsia="zh-CN"/>
              </w:rPr>
              <w:t>8300</w:t>
            </w:r>
          </w:p>
        </w:tc>
        <w:tc>
          <w:tcPr>
            <w:tcW w:w="1531" w:type="dxa"/>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eastAsia="等线"/>
                <w:color w:val="auto"/>
                <w:sz w:val="21"/>
                <w:szCs w:val="21"/>
                <w:highlight w:val="none"/>
                <w:lang w:val="en-US" w:eastAsia="zh-CN"/>
              </w:rPr>
            </w:pPr>
            <w:r>
              <w:rPr>
                <w:rFonts w:hint="eastAsia" w:eastAsia="等线"/>
                <w:color w:val="auto"/>
                <w:sz w:val="21"/>
                <w:szCs w:val="21"/>
                <w:highlight w:val="none"/>
                <w:lang w:val="en-US" w:eastAsia="zh-CN"/>
              </w:rPr>
              <w:t>1.90</w:t>
            </w:r>
          </w:p>
        </w:tc>
        <w:tc>
          <w:tcPr>
            <w:tcW w:w="153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eastAsia="等线"/>
                <w:color w:val="auto"/>
                <w:highlight w:val="none"/>
                <w:lang w:eastAsia="zh-CN"/>
              </w:rPr>
            </w:pPr>
            <w:r>
              <w:rPr>
                <w:rFonts w:hint="eastAsia"/>
                <w:color w:val="auto"/>
                <w:sz w:val="22"/>
                <w:szCs w:val="22"/>
                <w:highlight w:val="none"/>
                <w:lang w:val="en-US" w:eastAsia="zh-CN"/>
              </w:rPr>
              <w:t>3.12</w:t>
            </w:r>
          </w:p>
        </w:tc>
        <w:tc>
          <w:tcPr>
            <w:tcW w:w="2608"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490"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hint="default" w:eastAsia="等线"/>
                <w:color w:val="auto"/>
                <w:highlight w:val="none"/>
                <w:lang w:val="en-US" w:eastAsia="zh-CN"/>
              </w:rPr>
            </w:pPr>
            <w:r>
              <w:rPr>
                <w:rFonts w:hint="eastAsia" w:eastAsia="等线"/>
                <w:color w:val="auto"/>
                <w:highlight w:val="none"/>
                <w:lang w:val="en-US" w:eastAsia="zh-CN"/>
              </w:rPr>
              <w:t>1+000~1+207</w:t>
            </w:r>
          </w:p>
        </w:tc>
        <w:tc>
          <w:tcPr>
            <w:tcW w:w="1345"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hint="eastAsia" w:eastAsia="等线"/>
                <w:color w:val="auto"/>
                <w:highlight w:val="none"/>
                <w:lang w:val="en-US" w:eastAsia="zh-CN"/>
              </w:rPr>
            </w:pPr>
            <w:r>
              <w:rPr>
                <w:rFonts w:hint="eastAsia" w:eastAsia="等线"/>
                <w:color w:val="auto"/>
                <w:highlight w:val="none"/>
                <w:lang w:val="en-US" w:eastAsia="zh-CN"/>
              </w:rPr>
              <w:t>8300</w:t>
            </w:r>
          </w:p>
        </w:tc>
        <w:tc>
          <w:tcPr>
            <w:tcW w:w="1531" w:type="dxa"/>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eastAsia="等线"/>
                <w:color w:val="auto"/>
                <w:sz w:val="21"/>
                <w:szCs w:val="21"/>
                <w:highlight w:val="none"/>
                <w:lang w:val="en-US" w:eastAsia="zh-CN"/>
              </w:rPr>
            </w:pPr>
            <w:r>
              <w:rPr>
                <w:rFonts w:hint="eastAsia" w:eastAsia="等线"/>
                <w:color w:val="auto"/>
                <w:sz w:val="21"/>
                <w:szCs w:val="21"/>
                <w:highlight w:val="none"/>
                <w:lang w:val="en-US" w:eastAsia="zh-CN"/>
              </w:rPr>
              <w:t>1.90</w:t>
            </w:r>
          </w:p>
        </w:tc>
        <w:tc>
          <w:tcPr>
            <w:tcW w:w="153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eastAsia="等线"/>
                <w:color w:val="auto"/>
                <w:highlight w:val="none"/>
                <w:lang w:val="en-US" w:eastAsia="zh-CN"/>
              </w:rPr>
            </w:pPr>
            <w:r>
              <w:rPr>
                <w:rFonts w:hint="eastAsia"/>
                <w:color w:val="auto"/>
                <w:sz w:val="22"/>
                <w:szCs w:val="22"/>
                <w:highlight w:val="none"/>
                <w:lang w:val="en-US" w:eastAsia="zh-CN"/>
              </w:rPr>
              <w:t>1.52</w:t>
            </w:r>
          </w:p>
        </w:tc>
        <w:tc>
          <w:tcPr>
            <w:tcW w:w="2608" w:type="dxa"/>
            <w:shd w:val="clear" w:color="auto" w:fill="auto"/>
            <w:vAlign w:val="center"/>
          </w:tcPr>
          <w:p>
            <w:pPr>
              <w:pStyle w:val="272"/>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color w:val="auto"/>
                <w:highlight w:val="none"/>
              </w:rPr>
            </w:pPr>
          </w:p>
        </w:tc>
      </w:tr>
    </w:tbl>
    <w:p>
      <w:pPr>
        <w:pStyle w:val="333"/>
        <w:numPr>
          <w:ilvl w:val="0"/>
          <w:numId w:val="0"/>
        </w:numPr>
        <w:ind w:leftChars="0"/>
        <w:jc w:val="center"/>
        <w:rPr>
          <w:rFonts w:hint="eastAsia"/>
          <w:color w:val="auto"/>
          <w:highlight w:val="none"/>
        </w:rPr>
      </w:pPr>
    </w:p>
    <w:p>
      <w:pPr>
        <w:ind w:firstLine="480"/>
        <w:rPr>
          <w:color w:val="auto"/>
          <w:highlight w:val="none"/>
        </w:rPr>
      </w:pPr>
      <w:r>
        <w:rPr>
          <w:rFonts w:hint="eastAsia"/>
          <w:color w:val="auto"/>
          <w:highlight w:val="none"/>
        </w:rPr>
        <w:t>1）纵断面设计</w:t>
      </w:r>
    </w:p>
    <w:p>
      <w:pPr>
        <w:ind w:firstLine="480"/>
        <w:rPr>
          <w:color w:val="auto"/>
          <w:highlight w:val="none"/>
        </w:rPr>
      </w:pPr>
      <w:r>
        <w:rPr>
          <w:rFonts w:hint="eastAsia"/>
          <w:color w:val="auto"/>
          <w:highlight w:val="none"/>
        </w:rPr>
        <w:t>渠道</w:t>
      </w:r>
      <w:r>
        <w:rPr>
          <w:color w:val="auto"/>
          <w:highlight w:val="none"/>
        </w:rPr>
        <w:t>比降</w:t>
      </w:r>
      <w:r>
        <w:rPr>
          <w:rFonts w:hint="eastAsia"/>
          <w:color w:val="auto"/>
          <w:highlight w:val="none"/>
        </w:rPr>
        <w:t>一般</w:t>
      </w:r>
      <w:r>
        <w:rPr>
          <w:color w:val="auto"/>
          <w:highlight w:val="none"/>
        </w:rPr>
        <w:t>要求与渠道沿线所经的地面坡降相近，以免开挖太深。同时</w:t>
      </w:r>
      <w:r>
        <w:rPr>
          <w:rFonts w:hint="eastAsia"/>
          <w:color w:val="auto"/>
          <w:highlight w:val="none"/>
        </w:rPr>
        <w:t>，</w:t>
      </w:r>
      <w:r>
        <w:rPr>
          <w:color w:val="auto"/>
          <w:highlight w:val="none"/>
        </w:rPr>
        <w:t>沟道比降不能选的</w:t>
      </w:r>
      <w:r>
        <w:rPr>
          <w:rFonts w:hint="eastAsia"/>
          <w:color w:val="auto"/>
          <w:highlight w:val="none"/>
        </w:rPr>
        <w:t>过大</w:t>
      </w:r>
      <w:r>
        <w:rPr>
          <w:color w:val="auto"/>
          <w:highlight w:val="none"/>
        </w:rPr>
        <w:t>或过小</w:t>
      </w:r>
      <w:r>
        <w:rPr>
          <w:rFonts w:hint="eastAsia"/>
          <w:color w:val="auto"/>
          <w:highlight w:val="none"/>
        </w:rPr>
        <w:t>，</w:t>
      </w:r>
      <w:r>
        <w:rPr>
          <w:color w:val="auto"/>
          <w:highlight w:val="none"/>
        </w:rPr>
        <w:t>以满足沟道不冲不淤的要求。</w:t>
      </w:r>
      <w:r>
        <w:rPr>
          <w:rFonts w:hint="eastAsia"/>
          <w:color w:val="auto"/>
          <w:highlight w:val="none"/>
        </w:rPr>
        <w:t>对于</w:t>
      </w:r>
      <w:r>
        <w:rPr>
          <w:color w:val="auto"/>
          <w:highlight w:val="none"/>
        </w:rPr>
        <w:t>排</w:t>
      </w:r>
      <w:r>
        <w:rPr>
          <w:rFonts w:hint="eastAsia"/>
          <w:color w:val="auto"/>
          <w:highlight w:val="none"/>
        </w:rPr>
        <w:t>灌</w:t>
      </w:r>
      <w:r>
        <w:rPr>
          <w:color w:val="auto"/>
          <w:highlight w:val="none"/>
        </w:rPr>
        <w:t>两用的沟道内有反向输入的情况下，则沟道比降宜较平缓，其方向</w:t>
      </w:r>
      <w:r>
        <w:rPr>
          <w:rFonts w:hint="eastAsia"/>
          <w:color w:val="auto"/>
          <w:highlight w:val="none"/>
        </w:rPr>
        <w:t>则以</w:t>
      </w:r>
      <w:r>
        <w:rPr>
          <w:color w:val="auto"/>
          <w:highlight w:val="none"/>
        </w:rPr>
        <w:t>排水方向为准。</w:t>
      </w:r>
    </w:p>
    <w:p>
      <w:pPr>
        <w:ind w:firstLine="480"/>
        <w:rPr>
          <w:rFonts w:hint="default" w:eastAsia="宋体"/>
          <w:color w:val="auto"/>
          <w:highlight w:val="none"/>
          <w:lang w:val="en-US" w:eastAsia="zh-CN"/>
        </w:rPr>
      </w:pPr>
      <w:r>
        <w:rPr>
          <w:color w:val="auto"/>
          <w:highlight w:val="none"/>
        </w:rPr>
        <w:t>本工程根据</w:t>
      </w:r>
      <w:r>
        <w:rPr>
          <w:rFonts w:hint="eastAsia"/>
          <w:color w:val="auto"/>
          <w:highlight w:val="none"/>
        </w:rPr>
        <w:t>实际测量</w:t>
      </w:r>
      <w:r>
        <w:rPr>
          <w:color w:val="auto"/>
          <w:highlight w:val="none"/>
        </w:rPr>
        <w:t>资料，</w:t>
      </w:r>
      <w:r>
        <w:rPr>
          <w:rFonts w:hint="eastAsia"/>
          <w:color w:val="auto"/>
          <w:highlight w:val="none"/>
          <w:lang w:eastAsia="zh-CN"/>
        </w:rPr>
        <w:t>南大水库灌区干渠</w:t>
      </w:r>
      <w:r>
        <w:rPr>
          <w:color w:val="auto"/>
          <w:highlight w:val="none"/>
        </w:rPr>
        <w:t>设计</w:t>
      </w:r>
      <w:r>
        <w:rPr>
          <w:rFonts w:hint="eastAsia"/>
          <w:color w:val="auto"/>
          <w:highlight w:val="none"/>
          <w:lang w:eastAsia="zh-CN"/>
        </w:rPr>
        <w:t>渠</w:t>
      </w:r>
      <w:r>
        <w:rPr>
          <w:color w:val="auto"/>
          <w:highlight w:val="none"/>
        </w:rPr>
        <w:t>底高程基本与现状</w:t>
      </w:r>
      <w:r>
        <w:rPr>
          <w:rFonts w:hint="eastAsia"/>
          <w:color w:val="auto"/>
          <w:highlight w:val="none"/>
        </w:rPr>
        <w:t>渠</w:t>
      </w:r>
      <w:r>
        <w:rPr>
          <w:color w:val="auto"/>
          <w:highlight w:val="none"/>
        </w:rPr>
        <w:t>底高程一致。</w:t>
      </w:r>
      <w:r>
        <w:rPr>
          <w:rFonts w:hint="eastAsia"/>
          <w:color w:val="auto"/>
          <w:highlight w:val="none"/>
          <w:lang w:eastAsia="zh-CN"/>
        </w:rPr>
        <w:t>本工程坡降取</w:t>
      </w:r>
      <w:r>
        <w:rPr>
          <w:rFonts w:hint="eastAsia"/>
          <w:color w:val="auto"/>
          <w:highlight w:val="none"/>
          <w:lang w:val="en-US" w:eastAsia="zh-CN"/>
        </w:rPr>
        <w:t>0.06%。</w:t>
      </w:r>
    </w:p>
    <w:p>
      <w:pPr>
        <w:ind w:firstLine="480"/>
        <w:rPr>
          <w:color w:val="auto"/>
          <w:highlight w:val="none"/>
        </w:rPr>
      </w:pPr>
      <w:r>
        <w:rPr>
          <w:rFonts w:hint="eastAsia"/>
          <w:color w:val="auto"/>
          <w:highlight w:val="none"/>
        </w:rPr>
        <w:t>2）横断面</w:t>
      </w:r>
      <w:r>
        <w:rPr>
          <w:color w:val="auto"/>
          <w:highlight w:val="none"/>
        </w:rPr>
        <w:t>设计</w:t>
      </w:r>
    </w:p>
    <w:p>
      <w:pPr>
        <w:ind w:firstLine="480"/>
        <w:rPr>
          <w:color w:val="auto"/>
          <w:highlight w:val="none"/>
        </w:rPr>
      </w:pPr>
      <w:r>
        <w:rPr>
          <w:color w:val="auto"/>
          <w:highlight w:val="none"/>
        </w:rPr>
        <w:t>本次</w:t>
      </w:r>
      <w:r>
        <w:rPr>
          <w:rFonts w:hint="eastAsia"/>
          <w:color w:val="auto"/>
          <w:highlight w:val="none"/>
          <w:lang w:eastAsia="zh-CN"/>
        </w:rPr>
        <w:t>南大水库灌区干渠</w:t>
      </w:r>
      <w:r>
        <w:rPr>
          <w:color w:val="auto"/>
          <w:highlight w:val="none"/>
        </w:rPr>
        <w:t>横断面设计选用梯形断面</w:t>
      </w:r>
      <w:r>
        <w:rPr>
          <w:rFonts w:hint="eastAsia"/>
          <w:color w:val="auto"/>
          <w:highlight w:val="none"/>
        </w:rPr>
        <w:t>，</w:t>
      </w:r>
      <w:r>
        <w:rPr>
          <w:color w:val="auto"/>
          <w:highlight w:val="none"/>
        </w:rPr>
        <w:t>根据恒定均匀流计算公式初步拟定断面，再</w:t>
      </w:r>
      <w:r>
        <w:rPr>
          <w:rFonts w:hint="eastAsia"/>
          <w:color w:val="auto"/>
          <w:highlight w:val="none"/>
        </w:rPr>
        <w:t>与现状</w:t>
      </w:r>
      <w:r>
        <w:rPr>
          <w:color w:val="auto"/>
          <w:highlight w:val="none"/>
        </w:rPr>
        <w:t>断面进行比较</w:t>
      </w:r>
      <w:r>
        <w:rPr>
          <w:rFonts w:hint="eastAsia"/>
          <w:color w:val="auto"/>
          <w:highlight w:val="none"/>
        </w:rPr>
        <w:t>，</w:t>
      </w:r>
      <w:r>
        <w:rPr>
          <w:color w:val="auto"/>
          <w:highlight w:val="none"/>
        </w:rPr>
        <w:t>断面足够渠道维持现状，较窄渠段需进行扩宽。恒定均匀流计算公式如下：</w:t>
      </w:r>
    </w:p>
    <w:p>
      <w:pPr>
        <w:ind w:firstLine="480"/>
        <w:rPr>
          <w:color w:val="auto"/>
          <w:spacing w:val="-2"/>
          <w:highlight w:val="none"/>
        </w:rPr>
      </w:pPr>
      <w:r>
        <w:rPr>
          <w:color w:val="auto"/>
          <w:spacing w:val="-2"/>
          <w:position w:val="-10"/>
          <w:highlight w:val="none"/>
        </w:rPr>
        <w:object>
          <v:shape id="_x0000_i1033" o:spt="75" type="#_x0000_t75" style="height:19.5pt;width:67.5pt;" o:ole="t" filled="f" o:preferrelative="t" stroked="f" coordsize="21600,21600">
            <v:path/>
            <v:fill on="f" focussize="0,0"/>
            <v:stroke on="f" joinstyle="miter"/>
            <v:imagedata r:id="rId58" o:title=""/>
            <o:lock v:ext="edit" aspectratio="t"/>
            <w10:wrap type="none"/>
            <w10:anchorlock/>
          </v:shape>
          <o:OLEObject Type="Embed" ProgID="Equation.3" ShapeID="_x0000_i1033" DrawAspect="Content" ObjectID="_1468075733" r:id="rId57">
            <o:LockedField>false</o:LockedField>
          </o:OLEObject>
        </w:object>
      </w:r>
    </w:p>
    <w:p>
      <w:pPr>
        <w:ind w:firstLine="472"/>
        <w:rPr>
          <w:color w:val="auto"/>
          <w:spacing w:val="-2"/>
          <w:highlight w:val="none"/>
        </w:rPr>
      </w:pPr>
      <w:r>
        <w:rPr>
          <w:color w:val="auto"/>
          <w:spacing w:val="-2"/>
          <w:highlight w:val="none"/>
        </w:rPr>
        <w:t>式中：Q—某频率的设计</w:t>
      </w:r>
      <w:r>
        <w:rPr>
          <w:rFonts w:hint="eastAsia"/>
          <w:color w:val="auto"/>
          <w:spacing w:val="-2"/>
          <w:highlight w:val="none"/>
        </w:rPr>
        <w:t xml:space="preserve"> </w:t>
      </w:r>
      <w:r>
        <w:rPr>
          <w:color w:val="auto"/>
          <w:spacing w:val="-2"/>
          <w:highlight w:val="none"/>
        </w:rPr>
        <w:t>洪峰流量（</w:t>
      </w:r>
      <w:r>
        <w:rPr>
          <w:rFonts w:hint="eastAsia"/>
          <w:color w:val="auto"/>
          <w:spacing w:val="-2"/>
          <w:highlight w:val="none"/>
          <w:lang w:eastAsia="zh-CN"/>
        </w:rPr>
        <w:t>m³</w:t>
      </w:r>
      <w:r>
        <w:rPr>
          <w:color w:val="auto"/>
          <w:spacing w:val="-2"/>
          <w:highlight w:val="none"/>
        </w:rPr>
        <w:t>/s）；</w:t>
      </w:r>
    </w:p>
    <w:p>
      <w:pPr>
        <w:ind w:firstLine="472"/>
        <w:rPr>
          <w:color w:val="auto"/>
          <w:spacing w:val="-2"/>
          <w:highlight w:val="none"/>
        </w:rPr>
      </w:pPr>
      <w:r>
        <w:rPr>
          <w:color w:val="auto"/>
          <w:spacing w:val="-2"/>
          <w:highlight w:val="none"/>
        </w:rPr>
        <w:t>A—过水断面面积（</w:t>
      </w:r>
      <w:r>
        <w:rPr>
          <w:rFonts w:hint="eastAsia"/>
          <w:color w:val="auto"/>
          <w:spacing w:val="-2"/>
          <w:highlight w:val="none"/>
          <w:lang w:eastAsia="zh-CN"/>
        </w:rPr>
        <w:t>m²</w:t>
      </w:r>
      <w:r>
        <w:rPr>
          <w:color w:val="auto"/>
          <w:spacing w:val="-2"/>
          <w:highlight w:val="none"/>
        </w:rPr>
        <w:t>），A=（b+mh），b为渠道底宽（m），m为边坡坡度，h为水深（m）；</w:t>
      </w:r>
    </w:p>
    <w:p>
      <w:pPr>
        <w:ind w:firstLine="472"/>
        <w:rPr>
          <w:color w:val="auto"/>
          <w:spacing w:val="-2"/>
          <w:highlight w:val="none"/>
        </w:rPr>
      </w:pPr>
      <w:r>
        <w:rPr>
          <w:color w:val="auto"/>
          <w:spacing w:val="-2"/>
          <w:highlight w:val="none"/>
        </w:rPr>
        <w:t>χ—湿周，χ=b+2h</w:t>
      </w:r>
      <w:r>
        <w:rPr>
          <w:color w:val="auto"/>
          <w:spacing w:val="-2"/>
          <w:position w:val="-16"/>
          <w:highlight w:val="none"/>
        </w:rPr>
        <w:drawing>
          <wp:inline distT="0" distB="0" distL="0" distR="0">
            <wp:extent cx="571500" cy="323850"/>
            <wp:effectExtent l="0" t="0" r="0" b="0"/>
            <wp:docPr id="2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71500" cy="323850"/>
                    </a:xfrm>
                    <a:prstGeom prst="rect">
                      <a:avLst/>
                    </a:prstGeom>
                    <a:noFill/>
                    <a:ln>
                      <a:noFill/>
                    </a:ln>
                  </pic:spPr>
                </pic:pic>
              </a:graphicData>
            </a:graphic>
          </wp:inline>
        </w:drawing>
      </w:r>
      <w:r>
        <w:rPr>
          <w:color w:val="auto"/>
          <w:spacing w:val="-2"/>
          <w:highlight w:val="none"/>
        </w:rPr>
        <w:t xml:space="preserve">  （m）；</w:t>
      </w:r>
    </w:p>
    <w:p>
      <w:pPr>
        <w:ind w:firstLine="472"/>
        <w:rPr>
          <w:color w:val="auto"/>
          <w:highlight w:val="none"/>
        </w:rPr>
      </w:pPr>
      <w:r>
        <w:rPr>
          <w:color w:val="auto"/>
          <w:spacing w:val="-2"/>
          <w:highlight w:val="none"/>
        </w:rPr>
        <w:t>C—谢才系数，C=R</w:t>
      </w:r>
      <w:r>
        <w:rPr>
          <w:color w:val="auto"/>
          <w:spacing w:val="-2"/>
          <w:highlight w:val="none"/>
          <w:vertAlign w:val="superscript"/>
        </w:rPr>
        <w:t>1/6</w:t>
      </w:r>
      <w:r>
        <w:rPr>
          <w:color w:val="auto"/>
          <w:spacing w:val="-2"/>
          <w:highlight w:val="none"/>
        </w:rPr>
        <w:t>/n，n为渠道粗糙系数；</w:t>
      </w:r>
      <w:r>
        <w:rPr>
          <w:rFonts w:hint="eastAsia"/>
          <w:color w:val="auto"/>
          <w:highlight w:val="none"/>
        </w:rPr>
        <w:t>参照</w:t>
      </w:r>
      <w:r>
        <w:rPr>
          <w:color w:val="auto"/>
          <w:highlight w:val="none"/>
        </w:rPr>
        <w:t>《</w:t>
      </w:r>
      <w:r>
        <w:rPr>
          <w:rFonts w:hint="eastAsia"/>
          <w:color w:val="auto"/>
          <w:highlight w:val="none"/>
        </w:rPr>
        <w:t>水力计算</w:t>
      </w:r>
      <w:r>
        <w:rPr>
          <w:color w:val="auto"/>
          <w:highlight w:val="none"/>
        </w:rPr>
        <w:t>手册》</w:t>
      </w:r>
      <w:r>
        <w:rPr>
          <w:rFonts w:hint="eastAsia"/>
          <w:color w:val="auto"/>
          <w:highlight w:val="none"/>
        </w:rPr>
        <w:t>，糙率</w:t>
      </w:r>
      <w:r>
        <w:rPr>
          <w:color w:val="auto"/>
          <w:highlight w:val="none"/>
        </w:rPr>
        <w:t>系数综合考虑</w:t>
      </w:r>
      <w:r>
        <w:rPr>
          <w:rFonts w:hint="eastAsia"/>
          <w:color w:val="auto"/>
          <w:highlight w:val="none"/>
        </w:rPr>
        <w:t>过流能力</w:t>
      </w:r>
      <w:r>
        <w:rPr>
          <w:color w:val="auto"/>
          <w:highlight w:val="none"/>
        </w:rPr>
        <w:t>，渠床土质和施工质量，建成后的管理养护</w:t>
      </w:r>
      <w:r>
        <w:rPr>
          <w:rFonts w:hint="eastAsia"/>
          <w:color w:val="auto"/>
          <w:highlight w:val="none"/>
        </w:rPr>
        <w:t>情况</w:t>
      </w:r>
      <w:r>
        <w:rPr>
          <w:color w:val="auto"/>
          <w:highlight w:val="none"/>
        </w:rPr>
        <w:t>等因素，综合确定</w:t>
      </w:r>
      <w:r>
        <w:rPr>
          <w:rFonts w:hint="eastAsia"/>
          <w:color w:val="auto"/>
          <w:highlight w:val="none"/>
        </w:rPr>
        <w:t>糙率</w:t>
      </w:r>
      <w:r>
        <w:rPr>
          <w:color w:val="auto"/>
          <w:highlight w:val="none"/>
        </w:rPr>
        <w:t>为</w:t>
      </w:r>
      <w:r>
        <w:rPr>
          <w:rFonts w:hint="eastAsia"/>
          <w:color w:val="auto"/>
          <w:highlight w:val="none"/>
        </w:rPr>
        <w:t>0.0</w:t>
      </w:r>
      <w:r>
        <w:rPr>
          <w:color w:val="auto"/>
          <w:highlight w:val="none"/>
        </w:rPr>
        <w:t>1</w:t>
      </w:r>
      <w:r>
        <w:rPr>
          <w:rFonts w:hint="eastAsia"/>
          <w:color w:val="auto"/>
          <w:highlight w:val="none"/>
          <w:lang w:val="en-US" w:eastAsia="zh-CN"/>
        </w:rPr>
        <w:t>7</w:t>
      </w:r>
      <w:r>
        <w:rPr>
          <w:color w:val="auto"/>
          <w:highlight w:val="none"/>
        </w:rPr>
        <w:t>。</w:t>
      </w:r>
    </w:p>
    <w:p>
      <w:pPr>
        <w:ind w:firstLine="472"/>
        <w:rPr>
          <w:color w:val="auto"/>
          <w:spacing w:val="-2"/>
          <w:highlight w:val="none"/>
        </w:rPr>
      </w:pPr>
      <w:r>
        <w:rPr>
          <w:color w:val="auto"/>
          <w:spacing w:val="-2"/>
          <w:highlight w:val="none"/>
        </w:rPr>
        <w:t>R—水力半径，R=A/χ。</w:t>
      </w:r>
    </w:p>
    <w:p>
      <w:pPr>
        <w:ind w:firstLine="472"/>
        <w:rPr>
          <w:color w:val="auto"/>
          <w:spacing w:val="-2"/>
          <w:highlight w:val="none"/>
        </w:rPr>
      </w:pPr>
      <w:r>
        <w:rPr>
          <w:rFonts w:hint="eastAsia"/>
          <w:color w:val="auto"/>
          <w:spacing w:val="-2"/>
          <w:highlight w:val="none"/>
        </w:rPr>
        <w:t>J—水力坡降</w:t>
      </w:r>
      <w:r>
        <w:rPr>
          <w:color w:val="auto"/>
          <w:spacing w:val="-2"/>
          <w:highlight w:val="none"/>
        </w:rPr>
        <w:t>，</w:t>
      </w:r>
      <w:r>
        <w:rPr>
          <w:rFonts w:hint="eastAsia"/>
          <w:color w:val="auto"/>
          <w:spacing w:val="-2"/>
          <w:highlight w:val="none"/>
        </w:rPr>
        <w:t>J</w:t>
      </w:r>
      <w:r>
        <w:rPr>
          <w:color w:val="auto"/>
          <w:spacing w:val="-2"/>
          <w:highlight w:val="none"/>
        </w:rPr>
        <w:t>=i</w:t>
      </w:r>
      <w:r>
        <w:rPr>
          <w:rFonts w:hint="eastAsia"/>
          <w:color w:val="auto"/>
          <w:spacing w:val="-2"/>
          <w:highlight w:val="none"/>
        </w:rPr>
        <w:t>，</w:t>
      </w:r>
      <w:r>
        <w:rPr>
          <w:color w:val="auto"/>
          <w:spacing w:val="-2"/>
          <w:highlight w:val="none"/>
        </w:rPr>
        <w:t>为明渠坡降</w:t>
      </w:r>
    </w:p>
    <w:p>
      <w:pPr>
        <w:ind w:firstLine="480"/>
        <w:rPr>
          <w:rFonts w:hint="eastAsia"/>
          <w:color w:val="auto"/>
          <w:highlight w:val="none"/>
          <w:lang w:eastAsia="zh-CN"/>
        </w:rPr>
      </w:pPr>
      <w:r>
        <w:rPr>
          <w:color w:val="auto"/>
          <w:highlight w:val="none"/>
        </w:rPr>
        <w:t>经综合分析比较，</w:t>
      </w:r>
      <w:r>
        <w:rPr>
          <w:rFonts w:hint="eastAsia"/>
          <w:color w:val="auto"/>
          <w:highlight w:val="none"/>
        </w:rPr>
        <w:t>结合</w:t>
      </w:r>
      <w:r>
        <w:rPr>
          <w:color w:val="auto"/>
          <w:highlight w:val="none"/>
        </w:rPr>
        <w:t>渠道现状灌溉</w:t>
      </w:r>
      <w:r>
        <w:rPr>
          <w:rFonts w:hint="eastAsia"/>
          <w:color w:val="auto"/>
          <w:highlight w:val="none"/>
        </w:rPr>
        <w:t>要求</w:t>
      </w:r>
      <w:r>
        <w:rPr>
          <w:color w:val="auto"/>
          <w:highlight w:val="none"/>
        </w:rPr>
        <w:t>，并参考</w:t>
      </w:r>
      <w:r>
        <w:rPr>
          <w:rFonts w:hint="eastAsia"/>
          <w:color w:val="auto"/>
          <w:highlight w:val="none"/>
          <w:lang w:eastAsia="zh-CN"/>
        </w:rPr>
        <w:t>渠道现状尺寸</w:t>
      </w:r>
      <w:r>
        <w:rPr>
          <w:color w:val="auto"/>
          <w:highlight w:val="none"/>
        </w:rPr>
        <w:t>情况，本次设计</w:t>
      </w:r>
      <w:r>
        <w:rPr>
          <w:rFonts w:hint="eastAsia"/>
          <w:color w:val="auto"/>
          <w:highlight w:val="none"/>
          <w:lang w:eastAsia="zh-CN"/>
        </w:rPr>
        <w:t>南大水库灌区</w:t>
      </w:r>
      <w:r>
        <w:rPr>
          <w:color w:val="auto"/>
          <w:highlight w:val="none"/>
        </w:rPr>
        <w:t>干渠采用梯形断面</w:t>
      </w:r>
      <w:r>
        <w:rPr>
          <w:rFonts w:hint="eastAsia"/>
          <w:color w:val="auto"/>
          <w:highlight w:val="none"/>
          <w:lang w:eastAsia="zh-CN"/>
        </w:rPr>
        <w:t>或矩形断面</w:t>
      </w:r>
      <w:r>
        <w:rPr>
          <w:color w:val="auto"/>
          <w:highlight w:val="none"/>
        </w:rPr>
        <w:t>，</w:t>
      </w:r>
      <w:r>
        <w:rPr>
          <w:rFonts w:hint="eastAsia"/>
          <w:color w:val="auto"/>
          <w:highlight w:val="none"/>
          <w:lang w:val="en-US" w:eastAsia="zh-CN"/>
        </w:rPr>
        <w:t>0+000~1+207渠段为梯形断面，渠道底宽为2.6m，边坡1:0.4，渠高为1.8m。</w:t>
      </w:r>
    </w:p>
    <w:p>
      <w:pPr>
        <w:ind w:firstLine="480"/>
        <w:rPr>
          <w:color w:val="auto"/>
          <w:highlight w:val="none"/>
        </w:rPr>
      </w:pPr>
      <w:r>
        <w:rPr>
          <w:rFonts w:hint="eastAsia"/>
          <w:color w:val="auto"/>
          <w:highlight w:val="none"/>
        </w:rPr>
        <w:t>3）渠道</w:t>
      </w:r>
      <w:r>
        <w:rPr>
          <w:color w:val="auto"/>
          <w:highlight w:val="none"/>
        </w:rPr>
        <w:t>不冲不淤的要求流速验证</w:t>
      </w:r>
    </w:p>
    <w:p>
      <w:pPr>
        <w:ind w:firstLine="480"/>
        <w:rPr>
          <w:color w:val="auto"/>
          <w:highlight w:val="none"/>
        </w:rPr>
      </w:pPr>
      <w:r>
        <w:rPr>
          <w:rFonts w:hint="eastAsia"/>
          <w:color w:val="auto"/>
          <w:highlight w:val="none"/>
        </w:rPr>
        <w:t>在稳定</w:t>
      </w:r>
      <w:r>
        <w:rPr>
          <w:color w:val="auto"/>
          <w:highlight w:val="none"/>
        </w:rPr>
        <w:t>渠道内，</w:t>
      </w:r>
      <w:r>
        <w:rPr>
          <w:rFonts w:hint="eastAsia"/>
          <w:color w:val="auto"/>
          <w:highlight w:val="none"/>
        </w:rPr>
        <w:t>为</w:t>
      </w:r>
      <w:r>
        <w:rPr>
          <w:color w:val="auto"/>
          <w:highlight w:val="none"/>
        </w:rPr>
        <w:t>避免渠道变形，</w:t>
      </w:r>
      <w:r>
        <w:rPr>
          <w:rFonts w:hint="eastAsia"/>
          <w:color w:val="auto"/>
          <w:highlight w:val="none"/>
        </w:rPr>
        <w:t>维持</w:t>
      </w:r>
      <w:r>
        <w:rPr>
          <w:color w:val="auto"/>
          <w:highlight w:val="none"/>
        </w:rPr>
        <w:t>渠床稳定，需</w:t>
      </w:r>
      <w:r>
        <w:rPr>
          <w:rFonts w:hint="eastAsia"/>
          <w:color w:val="auto"/>
          <w:highlight w:val="none"/>
        </w:rPr>
        <w:t>使</w:t>
      </w:r>
      <w:r>
        <w:rPr>
          <w:color w:val="auto"/>
          <w:highlight w:val="none"/>
        </w:rPr>
        <w:t>渠道在通过设计流量时的平均流速（</w:t>
      </w:r>
      <w:r>
        <w:rPr>
          <w:rFonts w:hint="eastAsia"/>
          <w:color w:val="auto"/>
          <w:highlight w:val="none"/>
        </w:rPr>
        <w:t>设计</w:t>
      </w:r>
      <w:r>
        <w:rPr>
          <w:color w:val="auto"/>
          <w:highlight w:val="none"/>
        </w:rPr>
        <w:t>流速）</w:t>
      </w:r>
      <m:oMath>
        <m:sSub>
          <m:sSubPr>
            <m:ctrlPr>
              <w:rPr>
                <w:rFonts w:ascii="Cambria Math" w:hAnsi="Cambria Math"/>
                <w:color w:val="auto"/>
                <w:sz w:val="28"/>
                <w:highlight w:val="none"/>
              </w:rPr>
            </m:ctrlPr>
          </m:sSubPr>
          <m:e>
            <m:r>
              <w:rPr>
                <w:rFonts w:ascii="Cambria Math" w:hAnsi="Cambria Math"/>
                <w:color w:val="auto"/>
                <w:sz w:val="28"/>
                <w:highlight w:val="none"/>
              </w:rPr>
              <m:t>v</m:t>
            </m:r>
            <m:ctrlPr>
              <w:rPr>
                <w:rFonts w:ascii="Cambria Math" w:hAnsi="Cambria Math"/>
                <w:color w:val="auto"/>
                <w:sz w:val="28"/>
                <w:highlight w:val="none"/>
              </w:rPr>
            </m:ctrlPr>
          </m:e>
          <m:sub>
            <m:r>
              <w:rPr>
                <w:rFonts w:ascii="Cambria Math" w:hAnsi="Cambria Math"/>
                <w:color w:val="auto"/>
                <w:sz w:val="28"/>
                <w:highlight w:val="none"/>
              </w:rPr>
              <m:t>d</m:t>
            </m:r>
            <m:ctrlPr>
              <w:rPr>
                <w:rFonts w:ascii="Cambria Math" w:hAnsi="Cambria Math"/>
                <w:color w:val="auto"/>
                <w:sz w:val="28"/>
                <w:highlight w:val="none"/>
              </w:rPr>
            </m:ctrlPr>
          </m:sub>
        </m:sSub>
      </m:oMath>
      <w:r>
        <w:rPr>
          <w:rFonts w:hint="eastAsia"/>
          <w:color w:val="auto"/>
          <w:highlight w:val="none"/>
        </w:rPr>
        <w:t>满足</w:t>
      </w:r>
      <w:r>
        <w:rPr>
          <w:color w:val="auto"/>
          <w:highlight w:val="none"/>
        </w:rPr>
        <w:t>以下条件</w:t>
      </w:r>
      <w:r>
        <w:rPr>
          <w:rFonts w:hint="eastAsia"/>
          <w:color w:val="auto"/>
          <w:highlight w:val="none"/>
        </w:rPr>
        <w:t>：</w:t>
      </w:r>
    </w:p>
    <w:p>
      <w:pPr>
        <w:ind w:firstLine="480"/>
        <w:rPr>
          <w:color w:val="auto"/>
          <w:highlight w:val="none"/>
        </w:rPr>
      </w:pPr>
      <m:oMath>
        <m:sSub>
          <m:sSubPr>
            <m:ctrlPr>
              <w:rPr>
                <w:rFonts w:ascii="Cambria Math" w:hAnsi="Cambria Math"/>
                <w:color w:val="auto"/>
                <w:sz w:val="28"/>
                <w:highlight w:val="none"/>
              </w:rPr>
            </m:ctrlPr>
          </m:sSubPr>
          <m:e>
            <m:sSub>
              <m:sSubPr>
                <m:ctrlPr>
                  <w:rPr>
                    <w:rFonts w:ascii="Cambria Math" w:hAnsi="Cambria Math"/>
                    <w:i/>
                    <w:color w:val="auto"/>
                    <w:sz w:val="28"/>
                    <w:highlight w:val="none"/>
                  </w:rPr>
                </m:ctrlPr>
              </m:sSubPr>
              <m:e>
                <m:r>
                  <w:rPr>
                    <w:rFonts w:ascii="Cambria Math" w:hAnsi="Cambria Math"/>
                    <w:color w:val="auto"/>
                    <w:sz w:val="28"/>
                    <w:highlight w:val="none"/>
                  </w:rPr>
                  <m:t>v</m:t>
                </m:r>
                <m:ctrlPr>
                  <w:rPr>
                    <w:rFonts w:ascii="Cambria Math" w:hAnsi="Cambria Math"/>
                    <w:i/>
                    <w:color w:val="auto"/>
                    <w:sz w:val="28"/>
                    <w:highlight w:val="none"/>
                  </w:rPr>
                </m:ctrlPr>
              </m:e>
              <m:sub>
                <m:r>
                  <w:rPr>
                    <w:rFonts w:ascii="Cambria Math" w:hAnsi="Cambria Math"/>
                    <w:color w:val="auto"/>
                    <w:sz w:val="28"/>
                    <w:highlight w:val="none"/>
                  </w:rPr>
                  <m:t>cd</m:t>
                </m:r>
                <m:ctrlPr>
                  <w:rPr>
                    <w:rFonts w:ascii="Cambria Math" w:hAnsi="Cambria Math"/>
                    <w:i/>
                    <w:color w:val="auto"/>
                    <w:sz w:val="28"/>
                    <w:highlight w:val="none"/>
                  </w:rPr>
                </m:ctrlPr>
              </m:sub>
            </m:sSub>
            <m:r>
              <w:rPr>
                <w:rFonts w:ascii="Cambria Math" w:hAnsi="Cambria Math"/>
                <w:color w:val="auto"/>
                <w:sz w:val="28"/>
                <w:highlight w:val="none"/>
              </w:rPr>
              <m:t>&lt;v</m:t>
            </m:r>
            <m:ctrlPr>
              <w:rPr>
                <w:rFonts w:ascii="Cambria Math" w:hAnsi="Cambria Math"/>
                <w:color w:val="auto"/>
                <w:sz w:val="28"/>
                <w:highlight w:val="none"/>
              </w:rPr>
            </m:ctrlPr>
          </m:e>
          <m:sub>
            <m:r>
              <w:rPr>
                <w:rFonts w:ascii="Cambria Math" w:hAnsi="Cambria Math"/>
                <w:color w:val="auto"/>
                <w:sz w:val="28"/>
                <w:highlight w:val="none"/>
              </w:rPr>
              <m:t>d</m:t>
            </m:r>
            <m:ctrlPr>
              <w:rPr>
                <w:rFonts w:ascii="Cambria Math" w:hAnsi="Cambria Math"/>
                <w:color w:val="auto"/>
                <w:sz w:val="28"/>
                <w:highlight w:val="none"/>
              </w:rPr>
            </m:ctrlPr>
          </m:sub>
        </m:sSub>
        <m:r>
          <w:rPr>
            <w:rFonts w:ascii="Cambria Math" w:hAnsi="Cambria Math"/>
            <w:color w:val="auto"/>
            <w:sz w:val="28"/>
            <w:highlight w:val="none"/>
          </w:rPr>
          <m:t>&lt;</m:t>
        </m:r>
        <m:sSub>
          <m:sSubPr>
            <m:ctrlPr>
              <w:rPr>
                <w:rFonts w:ascii="Cambria Math" w:hAnsi="Cambria Math"/>
                <w:i/>
                <w:color w:val="auto"/>
                <w:sz w:val="28"/>
                <w:highlight w:val="none"/>
              </w:rPr>
            </m:ctrlPr>
          </m:sSubPr>
          <m:e>
            <m:r>
              <w:rPr>
                <w:rFonts w:ascii="Cambria Math" w:hAnsi="Cambria Math"/>
                <w:color w:val="auto"/>
                <w:sz w:val="28"/>
                <w:highlight w:val="none"/>
              </w:rPr>
              <m:t>v</m:t>
            </m:r>
            <m:ctrlPr>
              <w:rPr>
                <w:rFonts w:ascii="Cambria Math" w:hAnsi="Cambria Math"/>
                <w:i/>
                <w:color w:val="auto"/>
                <w:sz w:val="28"/>
                <w:highlight w:val="none"/>
              </w:rPr>
            </m:ctrlPr>
          </m:e>
          <m:sub>
            <m:r>
              <w:rPr>
                <w:rFonts w:ascii="Cambria Math" w:hAnsi="Cambria Math"/>
                <w:color w:val="auto"/>
                <w:sz w:val="28"/>
                <w:highlight w:val="none"/>
              </w:rPr>
              <m:t>cs</m:t>
            </m:r>
            <m:ctrlPr>
              <w:rPr>
                <w:rFonts w:ascii="Cambria Math" w:hAnsi="Cambria Math"/>
                <w:i/>
                <w:color w:val="auto"/>
                <w:sz w:val="28"/>
                <w:highlight w:val="none"/>
              </w:rPr>
            </m:ctrlPr>
          </m:sub>
        </m:sSub>
      </m:oMath>
      <w:r>
        <w:rPr>
          <w:rFonts w:hint="eastAsia"/>
          <w:color w:val="auto"/>
          <w:highlight w:val="none"/>
        </w:rPr>
        <w:t>由于</w:t>
      </w:r>
      <w:r>
        <w:rPr>
          <w:color w:val="auto"/>
          <w:highlight w:val="none"/>
        </w:rPr>
        <w:t>本工程</w:t>
      </w:r>
      <w:r>
        <w:rPr>
          <w:rFonts w:hint="eastAsia"/>
          <w:color w:val="auto"/>
          <w:highlight w:val="none"/>
        </w:rPr>
        <w:t>渠道改造采用</w:t>
      </w:r>
      <w:r>
        <w:rPr>
          <w:rFonts w:hint="eastAsia"/>
          <w:color w:val="auto"/>
          <w:highlight w:val="none"/>
          <w:lang w:eastAsia="zh-CN"/>
        </w:rPr>
        <w:t>浆砌石加防渗砂浆批荡</w:t>
      </w:r>
      <w:r>
        <w:rPr>
          <w:rFonts w:hint="eastAsia"/>
          <w:color w:val="auto"/>
          <w:highlight w:val="none"/>
        </w:rPr>
        <w:t>进行防渗衬砌，根据</w:t>
      </w:r>
      <w:r>
        <w:rPr>
          <w:color w:val="auto"/>
          <w:highlight w:val="none"/>
        </w:rPr>
        <w:t>美国垦务局建议，无钢筋的衬砌渠道</w:t>
      </w:r>
      <w:r>
        <w:rPr>
          <w:rFonts w:hint="eastAsia"/>
          <w:color w:val="auto"/>
          <w:highlight w:val="none"/>
        </w:rPr>
        <w:t>的</w:t>
      </w:r>
      <w:r>
        <w:rPr>
          <w:color w:val="auto"/>
          <w:highlight w:val="none"/>
        </w:rPr>
        <w:t>流速不</w:t>
      </w:r>
      <w:r>
        <w:rPr>
          <w:rFonts w:hint="eastAsia"/>
          <w:color w:val="auto"/>
          <w:highlight w:val="none"/>
        </w:rPr>
        <w:t>应</w:t>
      </w:r>
      <w:r>
        <w:rPr>
          <w:color w:val="auto"/>
          <w:highlight w:val="none"/>
        </w:rPr>
        <w:t>超过</w:t>
      </w:r>
      <w:r>
        <w:rPr>
          <w:rFonts w:hint="eastAsia"/>
          <w:color w:val="auto"/>
          <w:highlight w:val="none"/>
        </w:rPr>
        <w:t>2.5</w:t>
      </w:r>
      <w:r>
        <w:rPr>
          <w:color w:val="auto"/>
          <w:highlight w:val="none"/>
        </w:rPr>
        <w:t>m/s</w:t>
      </w:r>
      <w:r>
        <w:rPr>
          <w:rFonts w:hint="eastAsia"/>
          <w:color w:val="auto"/>
          <w:highlight w:val="none"/>
        </w:rPr>
        <w:t>。</w:t>
      </w:r>
      <w:r>
        <w:rPr>
          <w:color w:val="auto"/>
          <w:highlight w:val="none"/>
        </w:rPr>
        <w:t>经</w:t>
      </w:r>
      <w:r>
        <w:rPr>
          <w:rFonts w:hint="eastAsia"/>
          <w:color w:val="auto"/>
          <w:highlight w:val="none"/>
        </w:rPr>
        <w:t>计算，本次</w:t>
      </w:r>
      <w:r>
        <w:rPr>
          <w:color w:val="auto"/>
          <w:highlight w:val="none"/>
        </w:rPr>
        <w:t>改造</w:t>
      </w:r>
      <w:r>
        <w:rPr>
          <w:rFonts w:hint="eastAsia"/>
          <w:color w:val="auto"/>
          <w:highlight w:val="none"/>
        </w:rPr>
        <w:t>各渠道</w:t>
      </w:r>
      <w:r>
        <w:rPr>
          <w:color w:val="auto"/>
          <w:highlight w:val="none"/>
        </w:rPr>
        <w:t>设计流速在</w:t>
      </w:r>
      <w:r>
        <w:rPr>
          <w:rFonts w:hint="eastAsia"/>
          <w:color w:val="auto"/>
          <w:highlight w:val="none"/>
        </w:rPr>
        <w:t>0.</w:t>
      </w:r>
      <w:r>
        <w:rPr>
          <w:rFonts w:hint="eastAsia"/>
          <w:color w:val="auto"/>
          <w:highlight w:val="none"/>
          <w:lang w:val="en-US" w:eastAsia="zh-CN"/>
        </w:rPr>
        <w:t>4</w:t>
      </w:r>
      <w:r>
        <w:rPr>
          <w:color w:val="auto"/>
          <w:highlight w:val="none"/>
        </w:rPr>
        <w:t>~1.</w:t>
      </w:r>
      <w:r>
        <w:rPr>
          <w:rFonts w:hint="eastAsia"/>
          <w:color w:val="auto"/>
          <w:highlight w:val="none"/>
          <w:lang w:val="en-US" w:eastAsia="zh-CN"/>
        </w:rPr>
        <w:t>0</w:t>
      </w:r>
      <w:r>
        <w:rPr>
          <w:color w:val="auto"/>
          <w:highlight w:val="none"/>
        </w:rPr>
        <w:t>m/s之间，</w:t>
      </w:r>
      <w:r>
        <w:rPr>
          <w:rFonts w:hint="eastAsia"/>
          <w:color w:val="auto"/>
          <w:highlight w:val="none"/>
        </w:rPr>
        <w:t>满足不冲流速。</w:t>
      </w:r>
    </w:p>
    <w:p>
      <w:pPr>
        <w:ind w:firstLine="480"/>
        <w:rPr>
          <w:color w:val="auto"/>
          <w:highlight w:val="none"/>
        </w:rPr>
      </w:pPr>
      <w:r>
        <w:rPr>
          <w:rFonts w:hint="eastAsia"/>
          <w:color w:val="auto"/>
          <w:highlight w:val="none"/>
        </w:rPr>
        <w:t>本地区渠道</w:t>
      </w:r>
      <w:r>
        <w:rPr>
          <w:color w:val="auto"/>
          <w:highlight w:val="none"/>
        </w:rPr>
        <w:t>含沙量较</w:t>
      </w:r>
      <w:r>
        <w:rPr>
          <w:rFonts w:hint="eastAsia"/>
          <w:color w:val="auto"/>
          <w:highlight w:val="none"/>
        </w:rPr>
        <w:t>少</w:t>
      </w:r>
      <w:r>
        <w:rPr>
          <w:color w:val="auto"/>
          <w:highlight w:val="none"/>
        </w:rPr>
        <w:t>，无</w:t>
      </w:r>
      <w:r>
        <w:rPr>
          <w:rFonts w:hint="eastAsia"/>
          <w:color w:val="auto"/>
          <w:highlight w:val="none"/>
        </w:rPr>
        <w:t>泥沙</w:t>
      </w:r>
      <w:r>
        <w:rPr>
          <w:color w:val="auto"/>
          <w:highlight w:val="none"/>
        </w:rPr>
        <w:t>淤积威胁，但为了</w:t>
      </w:r>
      <w:r>
        <w:rPr>
          <w:rFonts w:hint="eastAsia"/>
          <w:color w:val="auto"/>
          <w:highlight w:val="none"/>
        </w:rPr>
        <w:t>避免水草滋生而降低过水能力，根据经验</w:t>
      </w:r>
      <w:r>
        <w:rPr>
          <w:color w:val="auto"/>
          <w:highlight w:val="none"/>
        </w:rPr>
        <w:t>，小型渠道的平均流速</w:t>
      </w:r>
      <w:r>
        <w:rPr>
          <w:rFonts w:hint="eastAsia"/>
          <w:color w:val="auto"/>
          <w:highlight w:val="none"/>
        </w:rPr>
        <w:t>应</w:t>
      </w:r>
      <w:r>
        <w:rPr>
          <w:color w:val="auto"/>
          <w:highlight w:val="none"/>
        </w:rPr>
        <w:t>不小于</w:t>
      </w:r>
      <w:r>
        <w:rPr>
          <w:rFonts w:hint="eastAsia"/>
          <w:color w:val="auto"/>
          <w:highlight w:val="none"/>
        </w:rPr>
        <w:t>0.3</w:t>
      </w:r>
      <w:r>
        <w:rPr>
          <w:color w:val="auto"/>
          <w:highlight w:val="none"/>
        </w:rPr>
        <w:t>~0.4m/s</w:t>
      </w:r>
      <w:r>
        <w:rPr>
          <w:rFonts w:hint="eastAsia"/>
          <w:color w:val="auto"/>
          <w:highlight w:val="none"/>
        </w:rPr>
        <w:t>。经对比</w:t>
      </w:r>
      <w:r>
        <w:rPr>
          <w:color w:val="auto"/>
          <w:highlight w:val="none"/>
        </w:rPr>
        <w:t>，本次改造</w:t>
      </w:r>
      <w:r>
        <w:rPr>
          <w:rFonts w:hint="eastAsia"/>
          <w:color w:val="auto"/>
          <w:highlight w:val="none"/>
        </w:rPr>
        <w:t>各渠道</w:t>
      </w:r>
      <w:r>
        <w:rPr>
          <w:color w:val="auto"/>
          <w:highlight w:val="none"/>
        </w:rPr>
        <w:t>设计流速满足不淤流速</w:t>
      </w:r>
      <w:r>
        <w:rPr>
          <w:rFonts w:hint="eastAsia"/>
          <w:color w:val="auto"/>
          <w:highlight w:val="none"/>
        </w:rPr>
        <w:t>。</w:t>
      </w:r>
    </w:p>
    <w:p>
      <w:pPr>
        <w:ind w:firstLine="480"/>
        <w:rPr>
          <w:color w:val="auto"/>
          <w:highlight w:val="none"/>
        </w:rPr>
      </w:pPr>
      <w:r>
        <w:rPr>
          <w:rFonts w:hint="eastAsia"/>
          <w:color w:val="auto"/>
          <w:highlight w:val="none"/>
        </w:rPr>
        <w:t>（</w:t>
      </w:r>
      <w:r>
        <w:rPr>
          <w:color w:val="auto"/>
          <w:highlight w:val="none"/>
        </w:rPr>
        <w:t>3</w:t>
      </w:r>
      <w:r>
        <w:rPr>
          <w:rFonts w:hint="eastAsia"/>
          <w:color w:val="auto"/>
          <w:highlight w:val="none"/>
        </w:rPr>
        <w:t>）设计</w:t>
      </w:r>
      <w:r>
        <w:rPr>
          <w:color w:val="auto"/>
          <w:highlight w:val="none"/>
        </w:rPr>
        <w:t>水面线</w:t>
      </w:r>
    </w:p>
    <w:p>
      <w:pPr>
        <w:ind w:firstLine="480"/>
        <w:rPr>
          <w:color w:val="auto"/>
          <w:highlight w:val="none"/>
        </w:rPr>
      </w:pPr>
      <w:r>
        <w:rPr>
          <w:color w:val="auto"/>
          <w:highlight w:val="none"/>
        </w:rPr>
        <w:t>1）计算方法</w:t>
      </w:r>
    </w:p>
    <w:p>
      <w:pPr>
        <w:ind w:firstLine="480"/>
        <w:rPr>
          <w:color w:val="auto"/>
          <w:highlight w:val="none"/>
        </w:rPr>
      </w:pPr>
      <w:r>
        <w:rPr>
          <w:rFonts w:hint="eastAsia"/>
          <w:color w:val="auto"/>
          <w:highlight w:val="none"/>
        </w:rPr>
        <w:t>由于</w:t>
      </w:r>
      <w:r>
        <w:rPr>
          <w:rFonts w:hint="eastAsia"/>
          <w:color w:val="auto"/>
          <w:highlight w:val="none"/>
          <w:lang w:eastAsia="zh-CN"/>
        </w:rPr>
        <w:t>南大水库灌区</w:t>
      </w:r>
      <w:r>
        <w:rPr>
          <w:rFonts w:hint="eastAsia"/>
          <w:color w:val="auto"/>
          <w:highlight w:val="none"/>
        </w:rPr>
        <w:t>干渠已运行</w:t>
      </w:r>
      <w:r>
        <w:rPr>
          <w:rFonts w:hint="eastAsia"/>
          <w:color w:val="auto"/>
          <w:highlight w:val="none"/>
          <w:lang w:eastAsia="zh-CN"/>
        </w:rPr>
        <w:t>几十</w:t>
      </w:r>
      <w:r>
        <w:rPr>
          <w:rFonts w:hint="eastAsia"/>
          <w:color w:val="auto"/>
          <w:highlight w:val="none"/>
        </w:rPr>
        <w:t>年，因此，按各渠道的原设计纵断面和原设计横断面，部分纵横断面本次设计中作了适当修改，采用修改后成果进行计算，并考虑主要壅水建筑物的影响，按水面线推算方法推算各渠道水面线。</w:t>
      </w:r>
    </w:p>
    <w:p>
      <w:pPr>
        <w:ind w:firstLine="480"/>
        <w:rPr>
          <w:color w:val="auto"/>
          <w:highlight w:val="none"/>
        </w:rPr>
      </w:pPr>
      <w:r>
        <w:rPr>
          <w:rFonts w:hint="eastAsia"/>
          <w:color w:val="auto"/>
          <w:highlight w:val="none"/>
        </w:rPr>
        <w:t>水面线推算公式：</w:t>
      </w:r>
    </w:p>
    <w:p>
      <w:pPr>
        <w:spacing w:line="240" w:lineRule="auto"/>
        <w:ind w:firstLine="0" w:firstLineChars="0"/>
        <w:jc w:val="center"/>
        <w:rPr>
          <w:color w:val="auto"/>
          <w:highlight w:val="none"/>
        </w:rPr>
      </w:pPr>
      <w:r>
        <w:rPr>
          <w:color w:val="auto"/>
          <w:highlight w:val="none"/>
        </w:rPr>
        <w:drawing>
          <wp:inline distT="0" distB="0" distL="0" distR="0">
            <wp:extent cx="2533650" cy="466090"/>
            <wp:effectExtent l="0" t="0" r="0" b="0"/>
            <wp:docPr id="515" name="图片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图片 515"/>
                    <pic:cNvPicPr>
                      <a:picLocks noChangeAspect="1"/>
                    </pic:cNvPicPr>
                  </pic:nvPicPr>
                  <pic:blipFill>
                    <a:blip r:embed="rId60"/>
                    <a:stretch>
                      <a:fillRect/>
                    </a:stretch>
                  </pic:blipFill>
                  <pic:spPr>
                    <a:xfrm>
                      <a:off x="0" y="0"/>
                      <a:ext cx="2532815" cy="466401"/>
                    </a:xfrm>
                    <a:prstGeom prst="rect">
                      <a:avLst/>
                    </a:prstGeom>
                  </pic:spPr>
                </pic:pic>
              </a:graphicData>
            </a:graphic>
          </wp:inline>
        </w:drawing>
      </w:r>
    </w:p>
    <w:p>
      <w:pPr>
        <w:ind w:firstLine="480"/>
        <w:rPr>
          <w:color w:val="auto"/>
          <w:highlight w:val="none"/>
        </w:rPr>
      </w:pPr>
      <w:r>
        <w:rPr>
          <w:rFonts w:hint="eastAsia"/>
          <w:color w:val="auto"/>
          <w:highlight w:val="none"/>
        </w:rPr>
        <w:t>式中：Z</w:t>
      </w:r>
      <w:r>
        <w:rPr>
          <w:rFonts w:hint="eastAsia"/>
          <w:color w:val="auto"/>
          <w:highlight w:val="none"/>
          <w:vertAlign w:val="subscript"/>
        </w:rPr>
        <w:t>1</w:t>
      </w:r>
      <w:r>
        <w:rPr>
          <w:rFonts w:hint="eastAsia"/>
          <w:color w:val="auto"/>
          <w:highlight w:val="none"/>
        </w:rPr>
        <w:t>、Z</w:t>
      </w:r>
      <w:r>
        <w:rPr>
          <w:rFonts w:hint="eastAsia"/>
          <w:color w:val="auto"/>
          <w:highlight w:val="none"/>
          <w:vertAlign w:val="subscript"/>
        </w:rPr>
        <w:t>2</w:t>
      </w:r>
      <w:r>
        <w:rPr>
          <w:rFonts w:hint="eastAsia"/>
          <w:color w:val="auto"/>
          <w:highlight w:val="none"/>
        </w:rPr>
        <w:t>——断面1、2的水位；</w:t>
      </w:r>
    </w:p>
    <w:p>
      <w:pPr>
        <w:ind w:firstLine="480"/>
        <w:rPr>
          <w:color w:val="auto"/>
          <w:highlight w:val="none"/>
        </w:rPr>
      </w:pPr>
      <w:r>
        <w:rPr>
          <w:rFonts w:hint="eastAsia"/>
          <w:color w:val="auto"/>
          <w:highlight w:val="none"/>
        </w:rPr>
        <w:t>V</w:t>
      </w:r>
      <w:r>
        <w:rPr>
          <w:rFonts w:hint="eastAsia"/>
          <w:color w:val="auto"/>
          <w:highlight w:val="none"/>
          <w:vertAlign w:val="subscript"/>
        </w:rPr>
        <w:t>1</w:t>
      </w:r>
      <w:r>
        <w:rPr>
          <w:rFonts w:hint="eastAsia"/>
          <w:color w:val="auto"/>
          <w:highlight w:val="none"/>
        </w:rPr>
        <w:t>、V</w:t>
      </w:r>
      <w:r>
        <w:rPr>
          <w:rFonts w:hint="eastAsia"/>
          <w:color w:val="auto"/>
          <w:highlight w:val="none"/>
          <w:vertAlign w:val="subscript"/>
        </w:rPr>
        <w:t>2</w:t>
      </w:r>
      <w:r>
        <w:rPr>
          <w:rFonts w:hint="eastAsia"/>
          <w:color w:val="auto"/>
          <w:highlight w:val="none"/>
        </w:rPr>
        <w:t>——断面1、2的流速；</w:t>
      </w:r>
    </w:p>
    <w:p>
      <w:pPr>
        <w:ind w:firstLine="480"/>
        <w:rPr>
          <w:color w:val="auto"/>
          <w:highlight w:val="none"/>
        </w:rPr>
      </w:pPr>
      <w:r>
        <w:rPr>
          <w:rFonts w:hint="eastAsia"/>
          <w:color w:val="auto"/>
          <w:highlight w:val="none"/>
        </w:rPr>
        <w:t>α</w:t>
      </w:r>
      <w:r>
        <w:rPr>
          <w:rFonts w:hint="eastAsia"/>
          <w:color w:val="auto"/>
          <w:highlight w:val="none"/>
          <w:vertAlign w:val="subscript"/>
        </w:rPr>
        <w:t>1</w:t>
      </w:r>
      <w:r>
        <w:rPr>
          <w:rFonts w:hint="eastAsia"/>
          <w:color w:val="auto"/>
          <w:highlight w:val="none"/>
        </w:rPr>
        <w:t>、α</w:t>
      </w:r>
      <w:r>
        <w:rPr>
          <w:rFonts w:hint="eastAsia"/>
          <w:color w:val="auto"/>
          <w:highlight w:val="none"/>
          <w:vertAlign w:val="subscript"/>
        </w:rPr>
        <w:t>2</w:t>
      </w:r>
      <w:r>
        <w:rPr>
          <w:rFonts w:hint="eastAsia"/>
          <w:color w:val="auto"/>
          <w:highlight w:val="none"/>
        </w:rPr>
        <w:t>——断面1、2的动能校正系数；</w:t>
      </w:r>
    </w:p>
    <w:p>
      <w:pPr>
        <w:ind w:firstLine="480"/>
        <w:rPr>
          <w:color w:val="auto"/>
          <w:highlight w:val="none"/>
        </w:rPr>
      </w:pPr>
      <w:r>
        <w:rPr>
          <w:rFonts w:hint="eastAsia" w:ascii="Cambria Math" w:hAnsi="Cambria Math"/>
          <w:color w:val="auto"/>
          <w:highlight w:val="none"/>
        </w:rPr>
        <w:t>△</w:t>
      </w:r>
      <w:r>
        <w:rPr>
          <w:color w:val="auto"/>
          <w:highlight w:val="none"/>
        </w:rPr>
        <w:t>h</w:t>
      </w:r>
      <w:r>
        <w:rPr>
          <w:color w:val="auto"/>
          <w:highlight w:val="none"/>
          <w:vertAlign w:val="subscript"/>
        </w:rPr>
        <w:t>f</w:t>
      </w:r>
      <w:r>
        <w:rPr>
          <w:rFonts w:hint="eastAsia"/>
          <w:color w:val="auto"/>
          <w:highlight w:val="none"/>
        </w:rPr>
        <w:t>、</w:t>
      </w:r>
      <w:r>
        <w:rPr>
          <w:rFonts w:hint="eastAsia" w:ascii="Cambria Math" w:hAnsi="Cambria Math"/>
          <w:color w:val="auto"/>
          <w:highlight w:val="none"/>
        </w:rPr>
        <w:t>△</w:t>
      </w:r>
      <w:r>
        <w:rPr>
          <w:color w:val="auto"/>
          <w:highlight w:val="none"/>
        </w:rPr>
        <w:t>h</w:t>
      </w:r>
      <w:r>
        <w:rPr>
          <w:color w:val="auto"/>
          <w:highlight w:val="none"/>
          <w:vertAlign w:val="subscript"/>
        </w:rPr>
        <w:t>j</w:t>
      </w:r>
      <w:r>
        <w:rPr>
          <w:color w:val="auto"/>
          <w:highlight w:val="none"/>
        </w:rPr>
        <w:t>——</w:t>
      </w:r>
      <w:r>
        <w:rPr>
          <w:rFonts w:hint="eastAsia"/>
          <w:color w:val="auto"/>
          <w:highlight w:val="none"/>
        </w:rPr>
        <w:t>沿程水头损失与局部水头损失。</w:t>
      </w:r>
    </w:p>
    <w:p>
      <w:pPr>
        <w:ind w:firstLine="480"/>
        <w:rPr>
          <w:color w:val="auto"/>
          <w:highlight w:val="none"/>
        </w:rPr>
      </w:pPr>
      <w:r>
        <w:rPr>
          <w:color w:val="auto"/>
          <w:highlight w:val="none"/>
        </w:rPr>
        <w:t>2</w:t>
      </w:r>
      <w:r>
        <w:rPr>
          <w:rFonts w:hint="eastAsia"/>
          <w:color w:val="auto"/>
          <w:highlight w:val="none"/>
        </w:rPr>
        <w:t>）起推水位</w:t>
      </w:r>
      <w:r>
        <w:rPr>
          <w:color w:val="auto"/>
          <w:highlight w:val="none"/>
        </w:rPr>
        <w:t>确定</w:t>
      </w:r>
    </w:p>
    <w:p>
      <w:pPr>
        <w:ind w:firstLine="480"/>
        <w:rPr>
          <w:color w:val="auto"/>
          <w:highlight w:val="none"/>
        </w:rPr>
      </w:pPr>
      <w:r>
        <w:rPr>
          <w:rFonts w:hint="eastAsia"/>
          <w:color w:val="auto"/>
          <w:highlight w:val="none"/>
        </w:rPr>
        <w:t>本工程</w:t>
      </w:r>
      <w:r>
        <w:rPr>
          <w:rFonts w:hint="eastAsia"/>
          <w:color w:val="auto"/>
          <w:highlight w:val="none"/>
          <w:lang w:eastAsia="zh-CN"/>
        </w:rPr>
        <w:t>改造的南大水库灌区干渠终点位于干渠渠首往下游</w:t>
      </w:r>
      <w:r>
        <w:rPr>
          <w:rFonts w:hint="eastAsia"/>
          <w:color w:val="auto"/>
          <w:highlight w:val="none"/>
          <w:lang w:val="en-US" w:eastAsia="zh-CN"/>
        </w:rPr>
        <w:t>7km处，根据测量数据成果，干渠渠首渠底高程与本次改造渠道终点渠底高程的高差为2.5m，渠道平均纵坡为0.04%，</w:t>
      </w:r>
      <w:r>
        <w:rPr>
          <w:rFonts w:hint="eastAsia"/>
          <w:color w:val="auto"/>
          <w:highlight w:val="none"/>
        </w:rPr>
        <w:t>按照</w:t>
      </w:r>
      <w:r>
        <w:rPr>
          <w:color w:val="auto"/>
          <w:highlight w:val="none"/>
        </w:rPr>
        <w:t>设计断面设计流量采用明渠均匀流公式推算该处</w:t>
      </w:r>
      <w:r>
        <w:rPr>
          <w:rFonts w:hint="eastAsia"/>
          <w:color w:val="auto"/>
          <w:highlight w:val="none"/>
        </w:rPr>
        <w:t>水深，以此底高程</w:t>
      </w:r>
      <w:r>
        <w:rPr>
          <w:color w:val="auto"/>
          <w:highlight w:val="none"/>
        </w:rPr>
        <w:t>加上水深</w:t>
      </w:r>
      <w:r>
        <w:rPr>
          <w:rFonts w:hint="eastAsia"/>
          <w:color w:val="auto"/>
          <w:highlight w:val="none"/>
        </w:rPr>
        <w:t>为起推水位，推算干渠水面线。</w:t>
      </w:r>
    </w:p>
    <w:p>
      <w:pPr>
        <w:ind w:firstLine="480"/>
        <w:rPr>
          <w:color w:val="auto"/>
          <w:highlight w:val="none"/>
        </w:rPr>
      </w:pPr>
      <w:r>
        <w:rPr>
          <w:color w:val="auto"/>
          <w:highlight w:val="none"/>
        </w:rPr>
        <w:t>3）计算参数</w:t>
      </w:r>
    </w:p>
    <w:p>
      <w:pPr>
        <w:ind w:firstLine="480"/>
        <w:rPr>
          <w:color w:val="auto"/>
          <w:highlight w:val="none"/>
        </w:rPr>
      </w:pPr>
      <w:r>
        <w:rPr>
          <w:color w:val="auto"/>
          <w:highlight w:val="none"/>
        </w:rPr>
        <w:t>断面数据：采用前面的纵断面设计成果和横断面设计成果。</w:t>
      </w:r>
    </w:p>
    <w:p>
      <w:pPr>
        <w:ind w:firstLine="480"/>
        <w:rPr>
          <w:color w:val="auto"/>
          <w:highlight w:val="none"/>
        </w:rPr>
      </w:pPr>
      <w:r>
        <w:rPr>
          <w:color w:val="auto"/>
          <w:highlight w:val="none"/>
        </w:rPr>
        <w:t>设计流量：采用</w:t>
      </w:r>
      <w:r>
        <w:rPr>
          <w:rFonts w:hint="eastAsia"/>
          <w:color w:val="auto"/>
          <w:highlight w:val="none"/>
          <w:lang w:eastAsia="zh-CN"/>
        </w:rPr>
        <w:t>南大水库灌区干渠</w:t>
      </w:r>
      <w:r>
        <w:rPr>
          <w:color w:val="auto"/>
          <w:highlight w:val="none"/>
        </w:rPr>
        <w:t>各分段的</w:t>
      </w:r>
      <w:r>
        <w:rPr>
          <w:rFonts w:hint="eastAsia"/>
          <w:color w:val="auto"/>
          <w:highlight w:val="none"/>
        </w:rPr>
        <w:t>加大灌溉</w:t>
      </w:r>
      <w:r>
        <w:rPr>
          <w:color w:val="auto"/>
          <w:highlight w:val="none"/>
        </w:rPr>
        <w:t>设计流量</w:t>
      </w:r>
      <w:r>
        <w:rPr>
          <w:rFonts w:hint="eastAsia"/>
          <w:color w:val="auto"/>
          <w:highlight w:val="none"/>
        </w:rPr>
        <w:t>、</w:t>
      </w:r>
      <w:r>
        <w:rPr>
          <w:color w:val="auto"/>
          <w:highlight w:val="none"/>
        </w:rPr>
        <w:t>排水</w:t>
      </w:r>
      <w:r>
        <w:rPr>
          <w:rFonts w:hint="eastAsia"/>
          <w:color w:val="auto"/>
          <w:highlight w:val="none"/>
        </w:rPr>
        <w:t>流量</w:t>
      </w:r>
      <w:r>
        <w:rPr>
          <w:color w:val="auto"/>
          <w:highlight w:val="none"/>
        </w:rPr>
        <w:t>。</w:t>
      </w:r>
    </w:p>
    <w:p>
      <w:pPr>
        <w:ind w:firstLine="480"/>
        <w:rPr>
          <w:color w:val="auto"/>
          <w:highlight w:val="none"/>
        </w:rPr>
      </w:pPr>
      <w:r>
        <w:rPr>
          <w:color w:val="auto"/>
          <w:highlight w:val="none"/>
        </w:rPr>
        <w:t>河道糙率：参考《水力计算手册》及《水力学》中河道糙率n值表，</w:t>
      </w:r>
      <w:r>
        <w:rPr>
          <w:rFonts w:hint="eastAsia"/>
          <w:color w:val="auto"/>
          <w:highlight w:val="none"/>
        </w:rPr>
        <w:t>参考类似工程，结合本工程实际，渠道改造完成后，糙率降低至0.01</w:t>
      </w:r>
      <w:r>
        <w:rPr>
          <w:rFonts w:hint="eastAsia"/>
          <w:color w:val="auto"/>
          <w:highlight w:val="none"/>
          <w:lang w:val="en-US" w:eastAsia="zh-CN"/>
        </w:rPr>
        <w:t>7</w:t>
      </w:r>
      <w:r>
        <w:rPr>
          <w:rFonts w:hint="eastAsia"/>
          <w:color w:val="auto"/>
          <w:highlight w:val="none"/>
        </w:rPr>
        <w:t>。</w:t>
      </w:r>
      <w:r>
        <w:rPr>
          <w:color w:val="auto"/>
          <w:highlight w:val="none"/>
        </w:rPr>
        <w:t>本工程渠道糙率取0.01</w:t>
      </w:r>
      <w:r>
        <w:rPr>
          <w:rFonts w:hint="eastAsia"/>
          <w:color w:val="auto"/>
          <w:highlight w:val="none"/>
          <w:lang w:val="en-US" w:eastAsia="zh-CN"/>
        </w:rPr>
        <w:t>7</w:t>
      </w:r>
      <w:r>
        <w:rPr>
          <w:color w:val="auto"/>
          <w:highlight w:val="none"/>
        </w:rPr>
        <w:t>。</w:t>
      </w:r>
    </w:p>
    <w:p>
      <w:pPr>
        <w:ind w:firstLine="480"/>
        <w:rPr>
          <w:color w:val="auto"/>
          <w:highlight w:val="none"/>
        </w:rPr>
      </w:pPr>
      <w:r>
        <w:rPr>
          <w:color w:val="auto"/>
          <w:highlight w:val="none"/>
        </w:rPr>
        <w:t>灌溉渠道堤顶超高：参考《灌溉与排水工程设计规范》（GB50288-</w:t>
      </w:r>
      <w:r>
        <w:rPr>
          <w:rFonts w:hint="eastAsia"/>
          <w:color w:val="auto"/>
          <w:highlight w:val="none"/>
        </w:rPr>
        <w:t>2018</w:t>
      </w:r>
      <w:r>
        <w:rPr>
          <w:color w:val="auto"/>
          <w:highlight w:val="none"/>
        </w:rPr>
        <w:t>），超高F</w:t>
      </w:r>
      <w:r>
        <w:rPr>
          <w:color w:val="auto"/>
          <w:highlight w:val="none"/>
          <w:vertAlign w:val="subscript"/>
        </w:rPr>
        <w:t>b</w:t>
      </w:r>
      <w:r>
        <w:rPr>
          <w:color w:val="auto"/>
          <w:highlight w:val="none"/>
        </w:rPr>
        <w:t>=1/4h</w:t>
      </w:r>
      <w:r>
        <w:rPr>
          <w:color w:val="auto"/>
          <w:highlight w:val="none"/>
          <w:vertAlign w:val="subscript"/>
        </w:rPr>
        <w:t>b</w:t>
      </w:r>
      <w:r>
        <w:rPr>
          <w:color w:val="auto"/>
          <w:highlight w:val="none"/>
        </w:rPr>
        <w:t>+0.2，其中h</w:t>
      </w:r>
      <w:r>
        <w:rPr>
          <w:color w:val="auto"/>
          <w:highlight w:val="none"/>
          <w:vertAlign w:val="subscript"/>
        </w:rPr>
        <w:t>b</w:t>
      </w:r>
      <w:r>
        <w:rPr>
          <w:color w:val="auto"/>
          <w:highlight w:val="none"/>
        </w:rPr>
        <w:t>为渠道通过加大流量时对应的水深，经计算，</w:t>
      </w:r>
      <w:r>
        <w:rPr>
          <w:rFonts w:hint="eastAsia"/>
          <w:color w:val="auto"/>
          <w:highlight w:val="none"/>
        </w:rPr>
        <w:t>干渠</w:t>
      </w:r>
      <w:r>
        <w:rPr>
          <w:color w:val="auto"/>
          <w:highlight w:val="none"/>
        </w:rPr>
        <w:t>超高为</w:t>
      </w:r>
      <w:r>
        <w:rPr>
          <w:rFonts w:hint="eastAsia"/>
          <w:color w:val="auto"/>
          <w:highlight w:val="none"/>
        </w:rPr>
        <w:t>0.</w:t>
      </w:r>
      <w:r>
        <w:rPr>
          <w:rFonts w:hint="eastAsia"/>
          <w:color w:val="auto"/>
          <w:highlight w:val="none"/>
          <w:lang w:val="en-US" w:eastAsia="zh-CN"/>
        </w:rPr>
        <w:t>5</w:t>
      </w:r>
      <w:r>
        <w:rPr>
          <w:rFonts w:hint="eastAsia"/>
          <w:color w:val="auto"/>
          <w:highlight w:val="none"/>
        </w:rPr>
        <w:t>~0.</w:t>
      </w:r>
      <w:r>
        <w:rPr>
          <w:rFonts w:hint="eastAsia"/>
          <w:color w:val="auto"/>
          <w:highlight w:val="none"/>
          <w:lang w:val="en-US" w:eastAsia="zh-CN"/>
        </w:rPr>
        <w:t>52</w:t>
      </w:r>
      <w:r>
        <w:rPr>
          <w:rFonts w:hint="eastAsia"/>
          <w:color w:val="auto"/>
          <w:highlight w:val="none"/>
        </w:rPr>
        <w:t>m。</w:t>
      </w:r>
    </w:p>
    <w:p>
      <w:pPr>
        <w:ind w:firstLine="480"/>
        <w:rPr>
          <w:color w:val="auto"/>
          <w:highlight w:val="none"/>
        </w:rPr>
      </w:pPr>
      <w:r>
        <w:rPr>
          <w:color w:val="auto"/>
          <w:highlight w:val="none"/>
        </w:rPr>
        <w:t>4）设计水面线计算成果</w:t>
      </w:r>
    </w:p>
    <w:p>
      <w:pPr>
        <w:ind w:firstLine="480"/>
        <w:rPr>
          <w:color w:val="auto"/>
          <w:highlight w:val="none"/>
        </w:rPr>
      </w:pPr>
      <w:r>
        <w:rPr>
          <w:color w:val="auto"/>
          <w:highlight w:val="none"/>
        </w:rPr>
        <w:t>根据已知下断面水位、流速、断面间距离、流量、桩号与断面形状有关的局部阻力系数、流速系数、流量模数，以及上断面水位与流速的关系，利用试算法逐步寻优求解。</w:t>
      </w:r>
      <w:r>
        <w:rPr>
          <w:rFonts w:hint="eastAsia"/>
          <w:color w:val="auto"/>
          <w:highlight w:val="none"/>
        </w:rPr>
        <w:t>成果如下</w:t>
      </w:r>
      <w:r>
        <w:rPr>
          <w:color w:val="auto"/>
          <w:highlight w:val="none"/>
        </w:rPr>
        <w:t>：</w:t>
      </w:r>
    </w:p>
    <w:p>
      <w:pPr>
        <w:pStyle w:val="333"/>
        <w:numPr>
          <w:ilvl w:val="0"/>
          <w:numId w:val="0"/>
        </w:numPr>
        <w:ind w:leftChars="0"/>
        <w:jc w:val="center"/>
        <w:rPr>
          <w:color w:val="auto"/>
          <w:highlight w:val="none"/>
        </w:rPr>
      </w:pPr>
      <w:r>
        <w:rPr>
          <w:rFonts w:hint="eastAsia"/>
          <w:color w:val="auto"/>
          <w:highlight w:val="none"/>
          <w:lang w:eastAsia="zh-CN"/>
        </w:rPr>
        <w:t>表</w:t>
      </w:r>
      <w:r>
        <w:rPr>
          <w:rFonts w:hint="eastAsia"/>
          <w:color w:val="auto"/>
          <w:highlight w:val="none"/>
          <w:lang w:val="en-US" w:eastAsia="zh-CN"/>
        </w:rPr>
        <w:t xml:space="preserve">4-6 </w:t>
      </w:r>
      <w:r>
        <w:rPr>
          <w:rFonts w:hint="eastAsia"/>
          <w:color w:val="auto"/>
          <w:highlight w:val="none"/>
          <w:lang w:eastAsia="zh-CN"/>
        </w:rPr>
        <w:t>南大水库灌区</w:t>
      </w:r>
      <w:r>
        <w:rPr>
          <w:color w:val="auto"/>
          <w:highlight w:val="none"/>
        </w:rPr>
        <w:t>干渠水面线计算成果</w:t>
      </w:r>
      <w:bookmarkStart w:id="265" w:name="_Toc536295105"/>
    </w:p>
    <w:tbl>
      <w:tblPr>
        <w:tblStyle w:val="47"/>
        <w:tblW w:w="877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8"/>
        <w:gridCol w:w="2011"/>
        <w:gridCol w:w="1829"/>
        <w:gridCol w:w="1820"/>
        <w:gridCol w:w="18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8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color w:val="auto"/>
                <w:kern w:val="0"/>
                <w:sz w:val="22"/>
                <w:szCs w:val="22"/>
                <w:highlight w:val="none"/>
              </w:rPr>
            </w:pPr>
            <w:r>
              <w:rPr>
                <w:color w:val="auto"/>
                <w:kern w:val="0"/>
                <w:sz w:val="22"/>
                <w:szCs w:val="22"/>
                <w:highlight w:val="none"/>
              </w:rPr>
              <w:t>桩号</w:t>
            </w:r>
          </w:p>
        </w:tc>
        <w:tc>
          <w:tcPr>
            <w:tcW w:w="201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color w:val="auto"/>
                <w:kern w:val="0"/>
                <w:sz w:val="22"/>
                <w:szCs w:val="22"/>
                <w:highlight w:val="none"/>
              </w:rPr>
            </w:pPr>
            <w:r>
              <w:rPr>
                <w:color w:val="auto"/>
                <w:kern w:val="0"/>
                <w:sz w:val="22"/>
                <w:szCs w:val="22"/>
                <w:highlight w:val="none"/>
              </w:rPr>
              <w:t>设计</w:t>
            </w:r>
            <w:r>
              <w:rPr>
                <w:rFonts w:hint="eastAsia"/>
                <w:color w:val="auto"/>
                <w:kern w:val="0"/>
                <w:sz w:val="22"/>
                <w:szCs w:val="22"/>
                <w:highlight w:val="none"/>
                <w:lang w:eastAsia="zh-CN"/>
              </w:rPr>
              <w:t>渠</w:t>
            </w:r>
            <w:r>
              <w:rPr>
                <w:color w:val="auto"/>
                <w:kern w:val="0"/>
                <w:sz w:val="22"/>
                <w:szCs w:val="22"/>
                <w:highlight w:val="none"/>
              </w:rPr>
              <w:t>底高程(m)</w:t>
            </w:r>
          </w:p>
        </w:tc>
        <w:tc>
          <w:tcPr>
            <w:tcW w:w="182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color w:val="auto"/>
                <w:kern w:val="0"/>
                <w:sz w:val="22"/>
                <w:szCs w:val="22"/>
                <w:highlight w:val="none"/>
              </w:rPr>
            </w:pPr>
            <w:r>
              <w:rPr>
                <w:rFonts w:hint="eastAsia"/>
                <w:color w:val="auto"/>
                <w:kern w:val="0"/>
                <w:sz w:val="22"/>
                <w:szCs w:val="22"/>
                <w:highlight w:val="none"/>
              </w:rPr>
              <w:t>灌溉水面线</w:t>
            </w:r>
          </w:p>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color w:val="auto"/>
                <w:kern w:val="0"/>
                <w:sz w:val="22"/>
                <w:szCs w:val="22"/>
                <w:highlight w:val="none"/>
              </w:rPr>
            </w:pPr>
            <w:r>
              <w:rPr>
                <w:color w:val="auto"/>
                <w:kern w:val="0"/>
                <w:sz w:val="22"/>
                <w:szCs w:val="22"/>
                <w:highlight w:val="none"/>
              </w:rPr>
              <w:t>(m)</w:t>
            </w:r>
          </w:p>
        </w:tc>
        <w:tc>
          <w:tcPr>
            <w:tcW w:w="182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color w:val="auto"/>
                <w:kern w:val="0"/>
                <w:sz w:val="22"/>
                <w:szCs w:val="22"/>
                <w:highlight w:val="none"/>
              </w:rPr>
            </w:pPr>
            <w:r>
              <w:rPr>
                <w:rFonts w:hint="eastAsia"/>
                <w:color w:val="auto"/>
                <w:kern w:val="0"/>
                <w:sz w:val="22"/>
                <w:szCs w:val="22"/>
                <w:highlight w:val="none"/>
              </w:rPr>
              <w:t>排水水面线</w:t>
            </w:r>
          </w:p>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color w:val="auto"/>
                <w:kern w:val="0"/>
                <w:sz w:val="22"/>
                <w:szCs w:val="22"/>
                <w:highlight w:val="none"/>
              </w:rPr>
            </w:pPr>
            <w:r>
              <w:rPr>
                <w:color w:val="auto"/>
                <w:kern w:val="0"/>
                <w:sz w:val="22"/>
                <w:szCs w:val="22"/>
                <w:highlight w:val="none"/>
              </w:rPr>
              <w:t>(m)</w:t>
            </w:r>
          </w:p>
        </w:tc>
        <w:tc>
          <w:tcPr>
            <w:tcW w:w="1829" w:type="dxa"/>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color w:val="auto"/>
                <w:kern w:val="0"/>
                <w:sz w:val="22"/>
                <w:szCs w:val="22"/>
                <w:highlight w:val="none"/>
              </w:rPr>
            </w:pPr>
            <w:r>
              <w:rPr>
                <w:rFonts w:hint="eastAsia"/>
                <w:color w:val="auto"/>
                <w:kern w:val="0"/>
                <w:sz w:val="22"/>
                <w:szCs w:val="22"/>
                <w:highlight w:val="none"/>
              </w:rPr>
              <w:t>设计水面线</w:t>
            </w:r>
          </w:p>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color w:val="auto"/>
                <w:kern w:val="0"/>
                <w:sz w:val="22"/>
                <w:szCs w:val="22"/>
                <w:highlight w:val="none"/>
              </w:rPr>
            </w:pPr>
            <w:r>
              <w:rPr>
                <w:rFonts w:hint="eastAsia"/>
                <w:color w:val="auto"/>
                <w:kern w:val="0"/>
                <w:sz w:val="22"/>
                <w:szCs w:val="22"/>
                <w:highlight w:val="none"/>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128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default"/>
                <w:color w:val="auto"/>
                <w:kern w:val="0"/>
                <w:sz w:val="22"/>
                <w:szCs w:val="22"/>
                <w:highlight w:val="none"/>
                <w:lang w:val="en-US" w:eastAsia="zh-CN"/>
              </w:rPr>
            </w:pPr>
            <w:r>
              <w:rPr>
                <w:rFonts w:hint="default"/>
                <w:color w:val="auto"/>
                <w:kern w:val="0"/>
                <w:sz w:val="22"/>
                <w:szCs w:val="22"/>
                <w:highlight w:val="none"/>
                <w:lang w:val="en-US" w:eastAsia="zh-CN"/>
              </w:rPr>
              <w:t>1+</w:t>
            </w:r>
            <w:r>
              <w:rPr>
                <w:rFonts w:hint="eastAsia"/>
                <w:color w:val="auto"/>
                <w:kern w:val="0"/>
                <w:sz w:val="22"/>
                <w:szCs w:val="22"/>
                <w:highlight w:val="none"/>
                <w:lang w:val="en-US" w:eastAsia="zh-CN"/>
              </w:rPr>
              <w:t>207</w:t>
            </w:r>
          </w:p>
        </w:tc>
        <w:tc>
          <w:tcPr>
            <w:tcW w:w="201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92.77</w:t>
            </w:r>
          </w:p>
        </w:tc>
        <w:tc>
          <w:tcPr>
            <w:tcW w:w="182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93.97 </w:t>
            </w:r>
          </w:p>
        </w:tc>
        <w:tc>
          <w:tcPr>
            <w:tcW w:w="182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94.05 </w:t>
            </w:r>
          </w:p>
        </w:tc>
        <w:tc>
          <w:tcPr>
            <w:tcW w:w="1829"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94.05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8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default"/>
                <w:color w:val="auto"/>
                <w:kern w:val="0"/>
                <w:sz w:val="22"/>
                <w:szCs w:val="22"/>
                <w:highlight w:val="none"/>
                <w:lang w:val="en-US" w:eastAsia="zh-CN"/>
              </w:rPr>
            </w:pPr>
            <w:r>
              <w:rPr>
                <w:rFonts w:hint="eastAsia"/>
                <w:color w:val="auto"/>
                <w:kern w:val="0"/>
                <w:sz w:val="22"/>
                <w:szCs w:val="22"/>
                <w:highlight w:val="none"/>
                <w:lang w:val="en-US" w:eastAsia="zh-CN"/>
              </w:rPr>
              <w:t>1+000</w:t>
            </w:r>
          </w:p>
        </w:tc>
        <w:tc>
          <w:tcPr>
            <w:tcW w:w="201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92.89</w:t>
            </w:r>
          </w:p>
        </w:tc>
        <w:tc>
          <w:tcPr>
            <w:tcW w:w="182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94.09 </w:t>
            </w:r>
          </w:p>
        </w:tc>
        <w:tc>
          <w:tcPr>
            <w:tcW w:w="182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94.17 </w:t>
            </w:r>
          </w:p>
        </w:tc>
        <w:tc>
          <w:tcPr>
            <w:tcW w:w="1829"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94.17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8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default"/>
                <w:color w:val="auto"/>
                <w:kern w:val="0"/>
                <w:sz w:val="22"/>
                <w:szCs w:val="22"/>
                <w:highlight w:val="none"/>
                <w:lang w:val="en-US" w:eastAsia="zh-CN"/>
              </w:rPr>
            </w:pPr>
            <w:r>
              <w:rPr>
                <w:rFonts w:hint="default"/>
                <w:color w:val="auto"/>
                <w:kern w:val="0"/>
                <w:sz w:val="22"/>
                <w:szCs w:val="22"/>
                <w:highlight w:val="none"/>
                <w:lang w:val="en-US" w:eastAsia="zh-CN"/>
              </w:rPr>
              <w:t>0+</w:t>
            </w:r>
            <w:r>
              <w:rPr>
                <w:rFonts w:hint="eastAsia"/>
                <w:color w:val="auto"/>
                <w:kern w:val="0"/>
                <w:sz w:val="22"/>
                <w:szCs w:val="22"/>
                <w:highlight w:val="none"/>
                <w:lang w:val="en-US" w:eastAsia="zh-CN"/>
              </w:rPr>
              <w:t>800</w:t>
            </w:r>
          </w:p>
        </w:tc>
        <w:tc>
          <w:tcPr>
            <w:tcW w:w="201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93.01</w:t>
            </w:r>
          </w:p>
        </w:tc>
        <w:tc>
          <w:tcPr>
            <w:tcW w:w="182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94.21 </w:t>
            </w:r>
          </w:p>
        </w:tc>
        <w:tc>
          <w:tcPr>
            <w:tcW w:w="182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94.29 </w:t>
            </w:r>
          </w:p>
        </w:tc>
        <w:tc>
          <w:tcPr>
            <w:tcW w:w="1829"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94.29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8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default"/>
                <w:color w:val="auto"/>
                <w:kern w:val="0"/>
                <w:sz w:val="22"/>
                <w:szCs w:val="22"/>
                <w:highlight w:val="none"/>
                <w:lang w:val="en-US" w:eastAsia="zh-CN"/>
              </w:rPr>
            </w:pPr>
            <w:r>
              <w:rPr>
                <w:rFonts w:hint="default"/>
                <w:color w:val="auto"/>
                <w:kern w:val="0"/>
                <w:sz w:val="22"/>
                <w:szCs w:val="22"/>
                <w:highlight w:val="none"/>
                <w:lang w:val="en-US" w:eastAsia="zh-CN"/>
              </w:rPr>
              <w:t>0+</w:t>
            </w:r>
            <w:r>
              <w:rPr>
                <w:rFonts w:hint="eastAsia"/>
                <w:color w:val="auto"/>
                <w:kern w:val="0"/>
                <w:sz w:val="22"/>
                <w:szCs w:val="22"/>
                <w:highlight w:val="none"/>
                <w:lang w:val="en-US" w:eastAsia="zh-CN"/>
              </w:rPr>
              <w:t>600</w:t>
            </w:r>
          </w:p>
        </w:tc>
        <w:tc>
          <w:tcPr>
            <w:tcW w:w="201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93.13</w:t>
            </w:r>
          </w:p>
        </w:tc>
        <w:tc>
          <w:tcPr>
            <w:tcW w:w="182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94.33 </w:t>
            </w:r>
          </w:p>
        </w:tc>
        <w:tc>
          <w:tcPr>
            <w:tcW w:w="182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94.41 </w:t>
            </w:r>
          </w:p>
        </w:tc>
        <w:tc>
          <w:tcPr>
            <w:tcW w:w="1829"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94.41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8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default"/>
                <w:color w:val="auto"/>
                <w:kern w:val="0"/>
                <w:sz w:val="22"/>
                <w:szCs w:val="22"/>
                <w:highlight w:val="none"/>
                <w:lang w:val="en-US" w:eastAsia="zh-CN"/>
              </w:rPr>
            </w:pPr>
            <w:r>
              <w:rPr>
                <w:rFonts w:hint="default"/>
                <w:color w:val="auto"/>
                <w:kern w:val="0"/>
                <w:sz w:val="22"/>
                <w:szCs w:val="22"/>
                <w:highlight w:val="none"/>
                <w:lang w:val="en-US" w:eastAsia="zh-CN"/>
              </w:rPr>
              <w:t>0+</w:t>
            </w:r>
            <w:r>
              <w:rPr>
                <w:rFonts w:hint="eastAsia"/>
                <w:color w:val="auto"/>
                <w:kern w:val="0"/>
                <w:sz w:val="22"/>
                <w:szCs w:val="22"/>
                <w:highlight w:val="none"/>
                <w:lang w:val="en-US" w:eastAsia="zh-CN"/>
              </w:rPr>
              <w:t>400</w:t>
            </w:r>
          </w:p>
        </w:tc>
        <w:tc>
          <w:tcPr>
            <w:tcW w:w="201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93.25</w:t>
            </w:r>
          </w:p>
        </w:tc>
        <w:tc>
          <w:tcPr>
            <w:tcW w:w="182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94.45 </w:t>
            </w:r>
          </w:p>
        </w:tc>
        <w:tc>
          <w:tcPr>
            <w:tcW w:w="182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94.53 </w:t>
            </w:r>
          </w:p>
        </w:tc>
        <w:tc>
          <w:tcPr>
            <w:tcW w:w="1829"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94.53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8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default"/>
                <w:color w:val="auto"/>
                <w:kern w:val="0"/>
                <w:sz w:val="22"/>
                <w:szCs w:val="22"/>
                <w:highlight w:val="none"/>
                <w:lang w:val="en-US" w:eastAsia="zh-CN"/>
              </w:rPr>
            </w:pPr>
            <w:r>
              <w:rPr>
                <w:rFonts w:hint="default"/>
                <w:color w:val="auto"/>
                <w:kern w:val="0"/>
                <w:sz w:val="22"/>
                <w:szCs w:val="22"/>
                <w:highlight w:val="none"/>
                <w:lang w:val="en-US" w:eastAsia="zh-CN"/>
              </w:rPr>
              <w:t>0+</w:t>
            </w:r>
            <w:r>
              <w:rPr>
                <w:rFonts w:hint="eastAsia"/>
                <w:color w:val="auto"/>
                <w:kern w:val="0"/>
                <w:sz w:val="22"/>
                <w:szCs w:val="22"/>
                <w:highlight w:val="none"/>
                <w:lang w:val="en-US" w:eastAsia="zh-CN"/>
              </w:rPr>
              <w:t>200</w:t>
            </w:r>
          </w:p>
        </w:tc>
        <w:tc>
          <w:tcPr>
            <w:tcW w:w="201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93.37</w:t>
            </w:r>
          </w:p>
        </w:tc>
        <w:tc>
          <w:tcPr>
            <w:tcW w:w="182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94.57 </w:t>
            </w:r>
          </w:p>
        </w:tc>
        <w:tc>
          <w:tcPr>
            <w:tcW w:w="182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94.65 </w:t>
            </w:r>
          </w:p>
        </w:tc>
        <w:tc>
          <w:tcPr>
            <w:tcW w:w="1829"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94.65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8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0+000</w:t>
            </w:r>
          </w:p>
        </w:tc>
        <w:tc>
          <w:tcPr>
            <w:tcW w:w="201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93.49</w:t>
            </w:r>
          </w:p>
        </w:tc>
        <w:tc>
          <w:tcPr>
            <w:tcW w:w="1829"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94.69 </w:t>
            </w:r>
          </w:p>
        </w:tc>
        <w:tc>
          <w:tcPr>
            <w:tcW w:w="182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94.77 </w:t>
            </w:r>
          </w:p>
        </w:tc>
        <w:tc>
          <w:tcPr>
            <w:tcW w:w="1829"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color w:val="auto"/>
                <w:kern w:val="0"/>
                <w:sz w:val="22"/>
                <w:szCs w:val="22"/>
                <w:highlight w:val="none"/>
                <w:lang w:val="en-US" w:eastAsia="zh-CN"/>
              </w:rPr>
            </w:pPr>
            <w:r>
              <w:rPr>
                <w:rFonts w:hint="default"/>
                <w:color w:val="auto"/>
                <w:kern w:val="0"/>
                <w:sz w:val="22"/>
                <w:szCs w:val="22"/>
                <w:highlight w:val="none"/>
                <w:lang w:val="en-US" w:eastAsia="zh-CN"/>
              </w:rPr>
              <w:t xml:space="preserve">94.77 </w:t>
            </w:r>
          </w:p>
        </w:tc>
      </w:tr>
    </w:tbl>
    <w:p>
      <w:pPr>
        <w:pStyle w:val="333"/>
        <w:numPr>
          <w:ilvl w:val="0"/>
          <w:numId w:val="0"/>
        </w:numPr>
        <w:ind w:leftChars="0"/>
        <w:jc w:val="center"/>
        <w:rPr>
          <w:color w:val="auto"/>
          <w:highlight w:val="none"/>
        </w:rPr>
      </w:pPr>
    </w:p>
    <w:bookmarkEnd w:id="265"/>
    <w:p>
      <w:pPr>
        <w:ind w:firstLine="0" w:firstLineChars="0"/>
        <w:rPr>
          <w:b/>
          <w:color w:val="auto"/>
          <w:highlight w:val="none"/>
        </w:rPr>
      </w:pPr>
    </w:p>
    <w:p>
      <w:pPr>
        <w:pStyle w:val="2"/>
        <w:keepNext w:val="0"/>
        <w:keepLines w:val="0"/>
        <w:pageBreakBefore/>
        <w:spacing w:before="156" w:beforeLines="50" w:after="156" w:afterLines="50" w:line="360" w:lineRule="auto"/>
        <w:ind w:firstLine="640"/>
        <w:rPr>
          <w:b/>
          <w:color w:val="auto"/>
          <w:szCs w:val="32"/>
          <w:highlight w:val="none"/>
        </w:rPr>
      </w:pPr>
      <w:bookmarkStart w:id="266" w:name="_Toc4741"/>
      <w:r>
        <w:rPr>
          <w:color w:val="auto"/>
          <w:szCs w:val="32"/>
          <w:highlight w:val="none"/>
        </w:rPr>
        <w:t xml:space="preserve">5 </w:t>
      </w:r>
      <w:r>
        <w:rPr>
          <w:rFonts w:hint="eastAsia"/>
          <w:color w:val="auto"/>
          <w:szCs w:val="32"/>
          <w:highlight w:val="none"/>
          <w:lang w:val="en-US" w:eastAsia="zh-CN"/>
        </w:rPr>
        <w:t xml:space="preserve"> </w:t>
      </w:r>
      <w:r>
        <w:rPr>
          <w:color w:val="auto"/>
          <w:szCs w:val="32"/>
          <w:highlight w:val="none"/>
        </w:rPr>
        <w:t>工程总布置及主要建筑物</w:t>
      </w:r>
      <w:bookmarkEnd w:id="232"/>
      <w:bookmarkEnd w:id="266"/>
    </w:p>
    <w:p>
      <w:pPr>
        <w:pStyle w:val="3"/>
        <w:rPr>
          <w:color w:val="auto"/>
          <w:highlight w:val="none"/>
        </w:rPr>
      </w:pPr>
      <w:bookmarkStart w:id="267" w:name="_Toc83003252"/>
      <w:bookmarkStart w:id="268" w:name="_Toc11405"/>
      <w:bookmarkStart w:id="269" w:name="_Toc38275329"/>
      <w:bookmarkStart w:id="270" w:name="_Toc38281506"/>
      <w:bookmarkStart w:id="271" w:name="_Toc107854113"/>
      <w:bookmarkStart w:id="272" w:name="_Toc415834288"/>
      <w:bookmarkStart w:id="273" w:name="_Toc116475811"/>
      <w:bookmarkStart w:id="274" w:name="_Toc107019710"/>
      <w:bookmarkStart w:id="275" w:name="_Toc536295107"/>
      <w:bookmarkStart w:id="276" w:name="_Toc38605858"/>
      <w:bookmarkStart w:id="277" w:name="_Toc107854127"/>
      <w:r>
        <w:rPr>
          <w:rFonts w:hint="eastAsia"/>
          <w:color w:val="auto"/>
          <w:highlight w:val="none"/>
        </w:rPr>
        <w:t>5</w:t>
      </w:r>
      <w:r>
        <w:rPr>
          <w:color w:val="auto"/>
          <w:highlight w:val="none"/>
        </w:rPr>
        <w:t>.1 设计依据</w:t>
      </w:r>
      <w:bookmarkEnd w:id="267"/>
      <w:bookmarkEnd w:id="268"/>
      <w:bookmarkEnd w:id="269"/>
      <w:bookmarkEnd w:id="270"/>
      <w:bookmarkEnd w:id="271"/>
      <w:bookmarkEnd w:id="272"/>
      <w:bookmarkEnd w:id="273"/>
      <w:bookmarkEnd w:id="274"/>
      <w:bookmarkEnd w:id="275"/>
      <w:bookmarkEnd w:id="276"/>
    </w:p>
    <w:p>
      <w:pPr>
        <w:pStyle w:val="335"/>
        <w:spacing w:before="156" w:after="156"/>
        <w:rPr>
          <w:color w:val="auto"/>
          <w:highlight w:val="none"/>
        </w:rPr>
      </w:pPr>
      <w:bookmarkStart w:id="278" w:name="_Toc536295108"/>
      <w:bookmarkStart w:id="279" w:name="_Toc107854114"/>
      <w:r>
        <w:rPr>
          <w:rFonts w:hint="eastAsia"/>
          <w:color w:val="auto"/>
          <w:highlight w:val="none"/>
        </w:rPr>
        <w:t>5</w:t>
      </w:r>
      <w:r>
        <w:rPr>
          <w:color w:val="auto"/>
          <w:highlight w:val="none"/>
        </w:rPr>
        <w:t>.1.1 设计依据的标准、规范及文件</w:t>
      </w:r>
      <w:bookmarkEnd w:id="278"/>
      <w:bookmarkEnd w:id="279"/>
    </w:p>
    <w:p>
      <w:pPr>
        <w:pStyle w:val="5"/>
        <w:rPr>
          <w:color w:val="auto"/>
          <w:highlight w:val="none"/>
        </w:rPr>
      </w:pPr>
      <w:r>
        <w:rPr>
          <w:rFonts w:hint="eastAsia"/>
          <w:color w:val="auto"/>
          <w:highlight w:val="none"/>
        </w:rPr>
        <w:t>5</w:t>
      </w:r>
      <w:r>
        <w:rPr>
          <w:color w:val="auto"/>
          <w:highlight w:val="none"/>
        </w:rPr>
        <w:t>.1.1.1 设计依据的标准、规范</w:t>
      </w:r>
    </w:p>
    <w:p>
      <w:pPr>
        <w:ind w:firstLine="480"/>
        <w:rPr>
          <w:color w:val="auto"/>
          <w:highlight w:val="none"/>
        </w:rPr>
      </w:pPr>
      <w:r>
        <w:rPr>
          <w:rFonts w:hint="eastAsia"/>
          <w:color w:val="auto"/>
          <w:highlight w:val="none"/>
        </w:rPr>
        <w:t>1</w:t>
      </w:r>
      <w:r>
        <w:rPr>
          <w:color w:val="auto"/>
          <w:highlight w:val="none"/>
        </w:rPr>
        <w:t>）</w:t>
      </w:r>
      <w:r>
        <w:rPr>
          <w:rFonts w:hint="eastAsia"/>
          <w:color w:val="auto"/>
          <w:highlight w:val="none"/>
        </w:rPr>
        <w:t>《中华人民共和国水法》</w:t>
      </w:r>
      <w:r>
        <w:rPr>
          <w:color w:val="auto"/>
          <w:highlight w:val="none"/>
        </w:rPr>
        <w:t>；</w:t>
      </w:r>
    </w:p>
    <w:p>
      <w:pPr>
        <w:ind w:firstLine="480"/>
        <w:rPr>
          <w:color w:val="auto"/>
          <w:highlight w:val="none"/>
        </w:rPr>
      </w:pPr>
      <w:r>
        <w:rPr>
          <w:rFonts w:hint="eastAsia"/>
          <w:color w:val="auto"/>
          <w:highlight w:val="none"/>
        </w:rPr>
        <w:t>2</w:t>
      </w:r>
      <w:r>
        <w:rPr>
          <w:color w:val="auto"/>
          <w:highlight w:val="none"/>
        </w:rPr>
        <w:t>）</w:t>
      </w:r>
      <w:r>
        <w:rPr>
          <w:rFonts w:hint="eastAsia"/>
          <w:color w:val="auto"/>
          <w:highlight w:val="none"/>
        </w:rPr>
        <w:t>《中华人民共和国水土保持法》</w:t>
      </w:r>
      <w:r>
        <w:rPr>
          <w:color w:val="auto"/>
          <w:highlight w:val="none"/>
        </w:rPr>
        <w:t>；</w:t>
      </w:r>
    </w:p>
    <w:p>
      <w:pPr>
        <w:ind w:firstLine="480"/>
        <w:rPr>
          <w:color w:val="auto"/>
          <w:highlight w:val="none"/>
        </w:rPr>
      </w:pPr>
      <w:r>
        <w:rPr>
          <w:rFonts w:hint="eastAsia"/>
          <w:color w:val="auto"/>
          <w:highlight w:val="none"/>
        </w:rPr>
        <w:t>3</w:t>
      </w:r>
      <w:r>
        <w:rPr>
          <w:color w:val="auto"/>
          <w:highlight w:val="none"/>
        </w:rPr>
        <w:t>）《</w:t>
      </w:r>
      <w:r>
        <w:rPr>
          <w:rFonts w:hint="eastAsia"/>
          <w:color w:val="auto"/>
          <w:highlight w:val="none"/>
        </w:rPr>
        <w:t>灌溉与排水工程设计标准</w:t>
      </w:r>
      <w:r>
        <w:rPr>
          <w:color w:val="auto"/>
          <w:highlight w:val="none"/>
        </w:rPr>
        <w:t>》（</w:t>
      </w:r>
      <w:r>
        <w:rPr>
          <w:rFonts w:hint="eastAsia"/>
          <w:color w:val="auto"/>
          <w:highlight w:val="none"/>
        </w:rPr>
        <w:t>GB50288-2018</w:t>
      </w:r>
      <w:r>
        <w:rPr>
          <w:color w:val="auto"/>
          <w:highlight w:val="none"/>
        </w:rPr>
        <w:t>）；</w:t>
      </w:r>
    </w:p>
    <w:p>
      <w:pPr>
        <w:ind w:firstLine="480"/>
        <w:rPr>
          <w:color w:val="auto"/>
          <w:highlight w:val="none"/>
        </w:rPr>
      </w:pPr>
      <w:r>
        <w:rPr>
          <w:rFonts w:hint="eastAsia"/>
          <w:color w:val="auto"/>
          <w:highlight w:val="none"/>
        </w:rPr>
        <w:t>4</w:t>
      </w:r>
      <w:r>
        <w:rPr>
          <w:color w:val="auto"/>
          <w:highlight w:val="none"/>
        </w:rPr>
        <w:t>）《水利水电工程等级划分及洪水标准》（SL252-</w:t>
      </w:r>
      <w:r>
        <w:rPr>
          <w:rFonts w:hint="eastAsia"/>
          <w:color w:val="auto"/>
          <w:highlight w:val="none"/>
        </w:rPr>
        <w:t>2017</w:t>
      </w:r>
      <w:r>
        <w:rPr>
          <w:color w:val="auto"/>
          <w:highlight w:val="none"/>
        </w:rPr>
        <w:t>）；</w:t>
      </w:r>
    </w:p>
    <w:p>
      <w:pPr>
        <w:ind w:firstLine="480"/>
        <w:rPr>
          <w:color w:val="auto"/>
          <w:highlight w:val="none"/>
        </w:rPr>
      </w:pPr>
      <w:r>
        <w:rPr>
          <w:rFonts w:hint="eastAsia"/>
          <w:color w:val="auto"/>
          <w:highlight w:val="none"/>
        </w:rPr>
        <w:t>5</w:t>
      </w:r>
      <w:r>
        <w:rPr>
          <w:color w:val="auto"/>
          <w:highlight w:val="none"/>
        </w:rPr>
        <w:t>）《给水排水工程构筑物结构设计规范》（GB 50069-2002）</w:t>
      </w:r>
      <w:r>
        <w:rPr>
          <w:rFonts w:hint="eastAsia"/>
          <w:color w:val="auto"/>
          <w:highlight w:val="none"/>
        </w:rPr>
        <w:t>；</w:t>
      </w:r>
    </w:p>
    <w:p>
      <w:pPr>
        <w:ind w:firstLine="480"/>
        <w:rPr>
          <w:color w:val="auto"/>
          <w:highlight w:val="none"/>
        </w:rPr>
      </w:pPr>
      <w:r>
        <w:rPr>
          <w:rFonts w:hint="eastAsia"/>
          <w:color w:val="auto"/>
          <w:highlight w:val="none"/>
        </w:rPr>
        <w:t>6</w:t>
      </w:r>
      <w:r>
        <w:rPr>
          <w:color w:val="auto"/>
          <w:highlight w:val="none"/>
        </w:rPr>
        <w:t>）《给水排水工程管道结构设计规范》（GB50332-2002）；</w:t>
      </w:r>
    </w:p>
    <w:p>
      <w:pPr>
        <w:ind w:firstLine="480"/>
        <w:rPr>
          <w:color w:val="auto"/>
          <w:highlight w:val="none"/>
        </w:rPr>
      </w:pPr>
      <w:r>
        <w:rPr>
          <w:rFonts w:hint="eastAsia"/>
          <w:color w:val="auto"/>
          <w:highlight w:val="none"/>
        </w:rPr>
        <w:t>7</w:t>
      </w:r>
      <w:r>
        <w:rPr>
          <w:color w:val="auto"/>
          <w:highlight w:val="none"/>
        </w:rPr>
        <w:t>）</w:t>
      </w:r>
      <w:r>
        <w:rPr>
          <w:rFonts w:hint="eastAsia"/>
          <w:color w:val="auto"/>
          <w:highlight w:val="none"/>
        </w:rPr>
        <w:t>《给排水设计手册》；</w:t>
      </w:r>
    </w:p>
    <w:p>
      <w:pPr>
        <w:ind w:firstLine="480"/>
        <w:rPr>
          <w:color w:val="auto"/>
          <w:highlight w:val="none"/>
        </w:rPr>
      </w:pPr>
      <w:r>
        <w:rPr>
          <w:rFonts w:hint="eastAsia"/>
          <w:color w:val="auto"/>
          <w:highlight w:val="none"/>
        </w:rPr>
        <w:t>8</w:t>
      </w:r>
      <w:r>
        <w:rPr>
          <w:color w:val="auto"/>
          <w:highlight w:val="none"/>
        </w:rPr>
        <w:t>）</w:t>
      </w:r>
      <w:r>
        <w:rPr>
          <w:rFonts w:hint="eastAsia"/>
          <w:color w:val="auto"/>
          <w:highlight w:val="none"/>
        </w:rPr>
        <w:t>《水工混凝土结构设计规范》（</w:t>
      </w:r>
      <w:r>
        <w:rPr>
          <w:color w:val="auto"/>
          <w:highlight w:val="none"/>
        </w:rPr>
        <w:t>SL191-2008</w:t>
      </w:r>
      <w:r>
        <w:rPr>
          <w:rFonts w:hint="eastAsia"/>
          <w:color w:val="auto"/>
          <w:highlight w:val="none"/>
        </w:rPr>
        <w:t>）；</w:t>
      </w:r>
    </w:p>
    <w:p>
      <w:pPr>
        <w:ind w:firstLine="480"/>
        <w:rPr>
          <w:color w:val="auto"/>
          <w:highlight w:val="none"/>
        </w:rPr>
      </w:pPr>
      <w:r>
        <w:rPr>
          <w:rFonts w:hint="eastAsia"/>
          <w:color w:val="auto"/>
          <w:highlight w:val="none"/>
        </w:rPr>
        <w:t>9</w:t>
      </w:r>
      <w:r>
        <w:rPr>
          <w:color w:val="auto"/>
          <w:highlight w:val="none"/>
        </w:rPr>
        <w:t>）《水工建筑物荷载设计规范》</w:t>
      </w:r>
      <w:r>
        <w:rPr>
          <w:rFonts w:hint="eastAsia"/>
          <w:color w:val="auto"/>
          <w:highlight w:val="none"/>
        </w:rPr>
        <w:t>（</w:t>
      </w:r>
      <w:r>
        <w:rPr>
          <w:color w:val="auto"/>
          <w:highlight w:val="none"/>
        </w:rPr>
        <w:t>DL5077-1997</w:t>
      </w:r>
      <w:r>
        <w:rPr>
          <w:rFonts w:hint="eastAsia"/>
          <w:color w:val="auto"/>
          <w:highlight w:val="none"/>
        </w:rPr>
        <w:t>）；</w:t>
      </w:r>
    </w:p>
    <w:p>
      <w:pPr>
        <w:ind w:firstLine="480"/>
        <w:rPr>
          <w:color w:val="auto"/>
          <w:highlight w:val="none"/>
        </w:rPr>
      </w:pPr>
      <w:r>
        <w:rPr>
          <w:rFonts w:hint="eastAsia"/>
          <w:color w:val="auto"/>
          <w:highlight w:val="none"/>
        </w:rPr>
        <w:t>10</w:t>
      </w:r>
      <w:r>
        <w:rPr>
          <w:color w:val="auto"/>
          <w:highlight w:val="none"/>
        </w:rPr>
        <w:t>）《水利水电工程量计算规定》（DL/T5088-99）；</w:t>
      </w:r>
    </w:p>
    <w:p>
      <w:pPr>
        <w:ind w:firstLine="480"/>
        <w:rPr>
          <w:color w:val="auto"/>
          <w:highlight w:val="none"/>
        </w:rPr>
      </w:pPr>
      <w:r>
        <w:rPr>
          <w:rFonts w:hint="eastAsia"/>
          <w:color w:val="auto"/>
          <w:highlight w:val="none"/>
        </w:rPr>
        <w:t>11）《建筑抗震设计规范》（GB50011-2010）；</w:t>
      </w:r>
    </w:p>
    <w:p>
      <w:pPr>
        <w:ind w:firstLine="480"/>
        <w:rPr>
          <w:color w:val="auto"/>
          <w:highlight w:val="none"/>
        </w:rPr>
      </w:pPr>
      <w:r>
        <w:rPr>
          <w:rFonts w:hint="eastAsia"/>
          <w:color w:val="auto"/>
          <w:highlight w:val="none"/>
        </w:rPr>
        <w:t>12）《水工建筑物抗震设计规范 》（</w:t>
      </w:r>
      <w:r>
        <w:rPr>
          <w:color w:val="auto"/>
          <w:highlight w:val="none"/>
        </w:rPr>
        <w:t>DL5073-2000</w:t>
      </w:r>
      <w:r>
        <w:rPr>
          <w:rFonts w:hint="eastAsia"/>
          <w:color w:val="auto"/>
          <w:highlight w:val="none"/>
        </w:rPr>
        <w:t>）；</w:t>
      </w:r>
    </w:p>
    <w:p>
      <w:pPr>
        <w:ind w:firstLine="480"/>
        <w:rPr>
          <w:color w:val="auto"/>
          <w:highlight w:val="none"/>
        </w:rPr>
      </w:pPr>
      <w:r>
        <w:rPr>
          <w:rFonts w:hint="eastAsia"/>
          <w:color w:val="auto"/>
          <w:highlight w:val="none"/>
        </w:rPr>
        <w:t>13）《建筑地基处理技术规范》（JGJ79-2002）；</w:t>
      </w:r>
    </w:p>
    <w:p>
      <w:pPr>
        <w:ind w:firstLine="480"/>
        <w:rPr>
          <w:color w:val="auto"/>
          <w:highlight w:val="none"/>
        </w:rPr>
      </w:pPr>
      <w:r>
        <w:rPr>
          <w:rFonts w:hint="eastAsia"/>
          <w:color w:val="auto"/>
          <w:highlight w:val="none"/>
        </w:rPr>
        <w:t>14）《建筑基坑支护技术规程》（JGJ 120-99）；</w:t>
      </w:r>
    </w:p>
    <w:p>
      <w:pPr>
        <w:ind w:firstLine="480"/>
        <w:rPr>
          <w:color w:val="auto"/>
          <w:highlight w:val="none"/>
        </w:rPr>
      </w:pPr>
      <w:r>
        <w:rPr>
          <w:rFonts w:hint="eastAsia"/>
          <w:color w:val="auto"/>
          <w:highlight w:val="none"/>
        </w:rPr>
        <w:t>15）《农田灌溉水质标准》（GB 5084-2005）；</w:t>
      </w:r>
    </w:p>
    <w:p>
      <w:pPr>
        <w:ind w:firstLine="480"/>
        <w:rPr>
          <w:color w:val="auto"/>
          <w:highlight w:val="none"/>
        </w:rPr>
      </w:pPr>
      <w:r>
        <w:rPr>
          <w:rFonts w:hint="eastAsia"/>
          <w:color w:val="auto"/>
          <w:highlight w:val="none"/>
        </w:rPr>
        <w:t>16）</w:t>
      </w:r>
      <w:r>
        <w:rPr>
          <w:color w:val="auto"/>
          <w:highlight w:val="none"/>
        </w:rPr>
        <w:t>《中华人民共和国环境保护法》；</w:t>
      </w:r>
    </w:p>
    <w:p>
      <w:pPr>
        <w:ind w:firstLine="480"/>
        <w:rPr>
          <w:color w:val="auto"/>
          <w:highlight w:val="none"/>
        </w:rPr>
      </w:pPr>
      <w:r>
        <w:rPr>
          <w:rFonts w:hint="eastAsia"/>
          <w:color w:val="auto"/>
          <w:highlight w:val="none"/>
        </w:rPr>
        <w:t>17）</w:t>
      </w:r>
      <w:r>
        <w:rPr>
          <w:color w:val="auto"/>
          <w:highlight w:val="none"/>
        </w:rPr>
        <w:t>《工程测量规范》（GB50026-</w:t>
      </w:r>
      <w:r>
        <w:rPr>
          <w:rFonts w:hint="eastAsia"/>
          <w:color w:val="auto"/>
          <w:highlight w:val="none"/>
        </w:rPr>
        <w:t>2007</w:t>
      </w:r>
      <w:r>
        <w:rPr>
          <w:color w:val="auto"/>
          <w:highlight w:val="none"/>
        </w:rPr>
        <w:t>）；</w:t>
      </w:r>
    </w:p>
    <w:p>
      <w:pPr>
        <w:ind w:firstLine="480"/>
        <w:rPr>
          <w:color w:val="auto"/>
          <w:highlight w:val="none"/>
        </w:rPr>
      </w:pPr>
      <w:r>
        <w:rPr>
          <w:rFonts w:hint="eastAsia"/>
          <w:color w:val="auto"/>
          <w:highlight w:val="none"/>
        </w:rPr>
        <w:t>18）有关国家法规同规定。</w:t>
      </w:r>
    </w:p>
    <w:p>
      <w:pPr>
        <w:pStyle w:val="5"/>
        <w:rPr>
          <w:color w:val="auto"/>
          <w:highlight w:val="none"/>
        </w:rPr>
      </w:pPr>
      <w:r>
        <w:rPr>
          <w:rFonts w:hint="eastAsia"/>
          <w:color w:val="auto"/>
          <w:highlight w:val="none"/>
        </w:rPr>
        <w:t>5</w:t>
      </w:r>
      <w:r>
        <w:rPr>
          <w:color w:val="auto"/>
          <w:highlight w:val="none"/>
        </w:rPr>
        <w:t>.1.1.2 设计依据及参考文件</w:t>
      </w:r>
    </w:p>
    <w:p>
      <w:pPr>
        <w:ind w:firstLine="480"/>
        <w:rPr>
          <w:color w:val="auto"/>
          <w:highlight w:val="none"/>
        </w:rPr>
      </w:pPr>
      <w:r>
        <w:rPr>
          <w:color w:val="auto"/>
          <w:highlight w:val="none"/>
        </w:rPr>
        <w:t>1）《</w:t>
      </w:r>
      <w:r>
        <w:rPr>
          <w:rFonts w:hint="eastAsia"/>
          <w:color w:val="auto"/>
          <w:highlight w:val="none"/>
        </w:rPr>
        <w:t>广州市江河流域（区域）综合规划、</w:t>
      </w:r>
      <w:r>
        <w:rPr>
          <w:color w:val="auto"/>
          <w:highlight w:val="none"/>
        </w:rPr>
        <w:t>》（广州市水务局、2002）；</w:t>
      </w:r>
    </w:p>
    <w:p>
      <w:pPr>
        <w:ind w:firstLine="480"/>
        <w:rPr>
          <w:color w:val="auto"/>
          <w:highlight w:val="none"/>
        </w:rPr>
      </w:pPr>
      <w:r>
        <w:rPr>
          <w:color w:val="auto"/>
          <w:highlight w:val="none"/>
        </w:rPr>
        <w:t>2）《</w:t>
      </w:r>
      <w:r>
        <w:rPr>
          <w:rFonts w:hint="eastAsia"/>
          <w:color w:val="auto"/>
          <w:highlight w:val="none"/>
        </w:rPr>
        <w:t>广州从化区水系规划报告</w:t>
      </w:r>
      <w:r>
        <w:rPr>
          <w:color w:val="auto"/>
          <w:highlight w:val="none"/>
        </w:rPr>
        <w:t>》；</w:t>
      </w:r>
    </w:p>
    <w:p>
      <w:pPr>
        <w:ind w:firstLine="480"/>
        <w:rPr>
          <w:color w:val="auto"/>
          <w:highlight w:val="none"/>
        </w:rPr>
      </w:pPr>
      <w:r>
        <w:rPr>
          <w:rFonts w:hint="eastAsia"/>
          <w:color w:val="auto"/>
          <w:highlight w:val="none"/>
          <w:lang w:val="en-US" w:eastAsia="zh-CN"/>
        </w:rPr>
        <w:t>3</w:t>
      </w:r>
      <w:r>
        <w:rPr>
          <w:rFonts w:hint="eastAsia"/>
          <w:color w:val="auto"/>
          <w:highlight w:val="none"/>
        </w:rPr>
        <w:t>）</w:t>
      </w:r>
      <w:r>
        <w:rPr>
          <w:color w:val="auto"/>
          <w:highlight w:val="none"/>
        </w:rPr>
        <w:t>《广东省水文图集》（广东省水文总站、2003）；</w:t>
      </w:r>
    </w:p>
    <w:p>
      <w:pPr>
        <w:ind w:firstLine="480"/>
        <w:rPr>
          <w:color w:val="auto"/>
          <w:highlight w:val="none"/>
        </w:rPr>
      </w:pPr>
      <w:r>
        <w:rPr>
          <w:rFonts w:hint="eastAsia"/>
          <w:color w:val="auto"/>
          <w:highlight w:val="none"/>
          <w:lang w:val="en-US" w:eastAsia="zh-CN"/>
        </w:rPr>
        <w:t>4</w:t>
      </w:r>
      <w:r>
        <w:rPr>
          <w:rFonts w:hint="eastAsia"/>
          <w:color w:val="auto"/>
          <w:highlight w:val="none"/>
        </w:rPr>
        <w:t>）</w:t>
      </w:r>
      <w:r>
        <w:rPr>
          <w:color w:val="auto"/>
          <w:highlight w:val="none"/>
        </w:rPr>
        <w:t>《广东省暴雨径流查处图表》使用手册（省水文站、1991）</w:t>
      </w:r>
      <w:r>
        <w:rPr>
          <w:rFonts w:hint="eastAsia"/>
          <w:color w:val="auto"/>
          <w:highlight w:val="none"/>
        </w:rPr>
        <w:t>；</w:t>
      </w:r>
    </w:p>
    <w:p>
      <w:pPr>
        <w:pStyle w:val="335"/>
        <w:spacing w:before="156" w:after="156"/>
        <w:rPr>
          <w:color w:val="auto"/>
          <w:highlight w:val="none"/>
          <w:lang w:bidi="en-US"/>
        </w:rPr>
      </w:pPr>
      <w:bookmarkStart w:id="280" w:name="_Toc536295109"/>
      <w:r>
        <w:rPr>
          <w:rFonts w:hint="eastAsia"/>
          <w:color w:val="auto"/>
          <w:highlight w:val="none"/>
        </w:rPr>
        <w:t>5</w:t>
      </w:r>
      <w:r>
        <w:rPr>
          <w:color w:val="auto"/>
          <w:highlight w:val="none"/>
        </w:rPr>
        <w:t xml:space="preserve">.1.2 </w:t>
      </w:r>
      <w:bookmarkEnd w:id="280"/>
      <w:r>
        <w:rPr>
          <w:rFonts w:hint="eastAsia"/>
          <w:color w:val="auto"/>
          <w:highlight w:val="none"/>
        </w:rPr>
        <w:t>工程等别及防洪标准</w:t>
      </w:r>
    </w:p>
    <w:p>
      <w:pPr>
        <w:ind w:firstLine="480"/>
        <w:rPr>
          <w:color w:val="auto"/>
          <w:highlight w:val="none"/>
        </w:rPr>
      </w:pPr>
      <w:r>
        <w:rPr>
          <w:rFonts w:hint="eastAsia"/>
          <w:color w:val="auto"/>
          <w:highlight w:val="none"/>
        </w:rPr>
        <w:t>（1）工程等别</w:t>
      </w:r>
    </w:p>
    <w:p>
      <w:pPr>
        <w:ind w:firstLine="480"/>
        <w:rPr>
          <w:color w:val="auto"/>
          <w:highlight w:val="none"/>
        </w:rPr>
      </w:pPr>
      <w:r>
        <w:rPr>
          <w:rFonts w:hint="eastAsia"/>
          <w:color w:val="auto"/>
          <w:highlight w:val="none"/>
          <w:lang w:eastAsia="zh-CN"/>
        </w:rPr>
        <w:t>南大水库</w:t>
      </w:r>
      <w:r>
        <w:rPr>
          <w:rFonts w:hint="eastAsia"/>
          <w:color w:val="auto"/>
          <w:highlight w:val="none"/>
        </w:rPr>
        <w:t>灌区涉及灌溉面积</w:t>
      </w:r>
      <w:r>
        <w:rPr>
          <w:rFonts w:hint="eastAsia"/>
          <w:color w:val="auto"/>
          <w:highlight w:val="none"/>
          <w:lang w:val="en-US" w:eastAsia="zh-CN"/>
        </w:rPr>
        <w:t>8900</w:t>
      </w:r>
      <w:r>
        <w:rPr>
          <w:rFonts w:hint="eastAsia"/>
          <w:color w:val="auto"/>
          <w:highlight w:val="none"/>
        </w:rPr>
        <w:t>亩，根据《灌区改造技术规范》（GB50599-2010），灌区灌溉面积</w:t>
      </w:r>
      <w:r>
        <w:rPr>
          <w:rFonts w:hint="eastAsia"/>
          <w:color w:val="auto"/>
          <w:highlight w:val="none"/>
          <w:lang w:eastAsia="zh-CN"/>
        </w:rPr>
        <w:t>小</w:t>
      </w:r>
      <w:r>
        <w:rPr>
          <w:rFonts w:hint="eastAsia"/>
          <w:color w:val="auto"/>
          <w:highlight w:val="none"/>
        </w:rPr>
        <w:t>于1万亩，为</w:t>
      </w:r>
      <w:r>
        <w:rPr>
          <w:rFonts w:hint="eastAsia"/>
          <w:color w:val="auto"/>
          <w:highlight w:val="none"/>
          <w:lang w:eastAsia="zh-CN"/>
        </w:rPr>
        <w:t>小</w:t>
      </w:r>
      <w:r>
        <w:rPr>
          <w:rFonts w:hint="eastAsia"/>
          <w:color w:val="auto"/>
          <w:highlight w:val="none"/>
        </w:rPr>
        <w:t>型灌区，本工程</w:t>
      </w:r>
      <w:r>
        <w:rPr>
          <w:rFonts w:hint="eastAsia"/>
          <w:color w:val="auto"/>
          <w:highlight w:val="none"/>
          <w:lang w:eastAsia="zh-CN"/>
        </w:rPr>
        <w:t>南大水库</w:t>
      </w:r>
      <w:r>
        <w:rPr>
          <w:rFonts w:hint="eastAsia"/>
          <w:color w:val="auto"/>
          <w:highlight w:val="none"/>
        </w:rPr>
        <w:t>灌区为</w:t>
      </w:r>
      <w:r>
        <w:rPr>
          <w:rFonts w:hint="eastAsia"/>
          <w:color w:val="auto"/>
          <w:highlight w:val="none"/>
          <w:lang w:eastAsia="zh-CN"/>
        </w:rPr>
        <w:t>小</w:t>
      </w:r>
      <w:r>
        <w:rPr>
          <w:rFonts w:hint="eastAsia"/>
          <w:color w:val="auto"/>
          <w:highlight w:val="none"/>
        </w:rPr>
        <w:t>型灌区，工程等别为</w:t>
      </w:r>
      <w:r>
        <w:rPr>
          <w:rFonts w:hint="eastAsia"/>
          <w:color w:val="auto"/>
          <w:highlight w:val="none"/>
          <w:lang w:eastAsia="zh-CN"/>
        </w:rPr>
        <w:t>Ⅴ</w:t>
      </w:r>
      <w:r>
        <w:rPr>
          <w:rFonts w:hint="eastAsia"/>
          <w:color w:val="auto"/>
          <w:highlight w:val="none"/>
        </w:rPr>
        <w:t>等。</w:t>
      </w:r>
    </w:p>
    <w:p>
      <w:pPr>
        <w:ind w:firstLine="480"/>
        <w:rPr>
          <w:color w:val="auto"/>
          <w:highlight w:val="none"/>
        </w:rPr>
      </w:pPr>
      <w:r>
        <w:rPr>
          <w:rFonts w:hint="eastAsia"/>
          <w:color w:val="auto"/>
          <w:highlight w:val="none"/>
        </w:rPr>
        <w:t>（2）建筑物级别及防洪标准</w:t>
      </w:r>
    </w:p>
    <w:p>
      <w:pPr>
        <w:ind w:firstLine="480"/>
        <w:rPr>
          <w:rFonts w:hint="eastAsia"/>
          <w:color w:val="auto"/>
          <w:highlight w:val="none"/>
        </w:rPr>
      </w:pPr>
      <w:r>
        <w:rPr>
          <w:rFonts w:hint="eastAsia"/>
          <w:color w:val="auto"/>
          <w:highlight w:val="none"/>
        </w:rPr>
        <w:t>本工程干渠以排洪、灌溉任务为主，根据《灌溉与排水工程设计规范》（GB 50288-2018）的规定，引水干渠的级别当按灌溉和排水流量分属两个不同工程级别时，应按其中较高的级别确定。因各引水干渠渠道灌溉流量和排水流量不同，本次工程分别按灌溉和排水流量选取工程级别，并按其中较高的级别确定。渠道全段级别5级，渠道防洪标准根据《灌溉与排水工程设计规范》表3.3.3，进行确定。各段渠道的防洪标准为10年一遇。</w:t>
      </w:r>
    </w:p>
    <w:p>
      <w:pPr>
        <w:pStyle w:val="335"/>
        <w:spacing w:before="156" w:after="156"/>
        <w:rPr>
          <w:color w:val="auto"/>
          <w:highlight w:val="none"/>
        </w:rPr>
      </w:pPr>
      <w:bookmarkStart w:id="281" w:name="_Toc536295110"/>
      <w:r>
        <w:rPr>
          <w:color w:val="auto"/>
          <w:highlight w:val="none"/>
        </w:rPr>
        <w:t>5.1.3 确定地震设防烈度</w:t>
      </w:r>
      <w:bookmarkEnd w:id="281"/>
    </w:p>
    <w:p>
      <w:pPr>
        <w:ind w:firstLine="480"/>
        <w:rPr>
          <w:color w:val="auto"/>
          <w:kern w:val="0"/>
          <w:highlight w:val="none"/>
          <w:lang w:bidi="en-US"/>
        </w:rPr>
      </w:pPr>
      <w:r>
        <w:rPr>
          <w:color w:val="auto"/>
          <w:highlight w:val="none"/>
        </w:rPr>
        <w:t>根据《中国地震动参数区划图》（1:400万）（GB 18306-2001）及《</w:t>
      </w:r>
      <w:r>
        <w:rPr>
          <w:rFonts w:hint="eastAsia"/>
          <w:color w:val="auto"/>
          <w:highlight w:val="none"/>
          <w:lang w:eastAsia="zh-CN"/>
        </w:rPr>
        <w:t>从化区温泉镇南大水库灌区(桃莲段)改造工程</w:t>
      </w:r>
      <w:r>
        <w:rPr>
          <w:color w:val="auto"/>
          <w:highlight w:val="none"/>
        </w:rPr>
        <w:t>地质勘察报告》，场地类型为中软土，建筑场地类别为</w:t>
      </w:r>
      <w:r>
        <w:rPr>
          <w:rFonts w:hint="eastAsia" w:ascii="宋体" w:hAnsi="宋体" w:cs="宋体"/>
          <w:color w:val="auto"/>
          <w:highlight w:val="none"/>
        </w:rPr>
        <w:t>Ⅱ</w:t>
      </w:r>
      <w:r>
        <w:rPr>
          <w:color w:val="auto"/>
          <w:highlight w:val="none"/>
        </w:rPr>
        <w:t>类，地震动峰值加速度为0.05g，地震特征周期值为0.35s，相应地震基本烈度为</w:t>
      </w:r>
      <w:r>
        <w:rPr>
          <w:rFonts w:hint="eastAsia" w:ascii="宋体" w:hAnsi="宋体" w:cs="宋体"/>
          <w:color w:val="auto"/>
          <w:highlight w:val="none"/>
        </w:rPr>
        <w:t>Ⅵ</w:t>
      </w:r>
      <w:r>
        <w:rPr>
          <w:color w:val="auto"/>
          <w:highlight w:val="none"/>
        </w:rPr>
        <w:t>度，工程设防烈度为</w:t>
      </w:r>
      <w:r>
        <w:rPr>
          <w:rFonts w:hint="eastAsia" w:ascii="宋体" w:hAnsi="宋体" w:cs="宋体"/>
          <w:color w:val="auto"/>
          <w:highlight w:val="none"/>
        </w:rPr>
        <w:t>Ⅵ</w:t>
      </w:r>
      <w:r>
        <w:rPr>
          <w:color w:val="auto"/>
          <w:highlight w:val="none"/>
        </w:rPr>
        <w:t>度。根据《水工建筑物抗震设计规范》（DL5073-2000）规定，该工程渠系建筑物可不进行抗震设计计算。</w:t>
      </w:r>
    </w:p>
    <w:p>
      <w:pPr>
        <w:pStyle w:val="3"/>
        <w:rPr>
          <w:color w:val="auto"/>
          <w:highlight w:val="none"/>
        </w:rPr>
      </w:pPr>
      <w:bookmarkStart w:id="282" w:name="_Toc125459336"/>
      <w:bookmarkStart w:id="283" w:name="_Toc536295112"/>
      <w:bookmarkStart w:id="284" w:name="_Toc415834289"/>
      <w:bookmarkStart w:id="285" w:name="_Toc4346"/>
      <w:bookmarkStart w:id="286" w:name="_Toc107019711"/>
      <w:bookmarkStart w:id="287" w:name="_Toc31207880"/>
      <w:bookmarkStart w:id="288" w:name="_Toc107854115"/>
      <w:bookmarkStart w:id="289" w:name="_Toc114568861"/>
      <w:bookmarkStart w:id="290" w:name="_Toc116475812"/>
      <w:r>
        <w:rPr>
          <w:rFonts w:hint="eastAsia"/>
          <w:color w:val="auto"/>
          <w:highlight w:val="none"/>
        </w:rPr>
        <w:t>5</w:t>
      </w:r>
      <w:r>
        <w:rPr>
          <w:color w:val="auto"/>
          <w:highlight w:val="none"/>
        </w:rPr>
        <w:t>.2 工程</w:t>
      </w:r>
      <w:bookmarkEnd w:id="282"/>
      <w:r>
        <w:rPr>
          <w:rFonts w:hint="eastAsia"/>
          <w:color w:val="auto"/>
          <w:highlight w:val="none"/>
        </w:rPr>
        <w:t>布置</w:t>
      </w:r>
      <w:bookmarkEnd w:id="283"/>
      <w:bookmarkEnd w:id="284"/>
      <w:bookmarkEnd w:id="285"/>
    </w:p>
    <w:bookmarkEnd w:id="286"/>
    <w:bookmarkEnd w:id="287"/>
    <w:bookmarkEnd w:id="288"/>
    <w:bookmarkEnd w:id="289"/>
    <w:bookmarkEnd w:id="290"/>
    <w:p>
      <w:pPr>
        <w:pStyle w:val="335"/>
        <w:spacing w:before="156" w:after="156"/>
        <w:rPr>
          <w:color w:val="auto"/>
          <w:highlight w:val="none"/>
        </w:rPr>
      </w:pPr>
      <w:bookmarkStart w:id="291" w:name="_Toc107019712"/>
      <w:bookmarkStart w:id="292" w:name="_Toc107854116"/>
      <w:bookmarkStart w:id="293" w:name="_Toc536295113"/>
      <w:bookmarkStart w:id="294" w:name="_Toc114568862"/>
      <w:bookmarkStart w:id="295" w:name="_Toc116475813"/>
      <w:bookmarkStart w:id="296" w:name="_Toc31207881"/>
      <w:r>
        <w:rPr>
          <w:rFonts w:hint="eastAsia"/>
          <w:color w:val="auto"/>
          <w:highlight w:val="none"/>
        </w:rPr>
        <w:t>5</w:t>
      </w:r>
      <w:r>
        <w:rPr>
          <w:color w:val="auto"/>
          <w:highlight w:val="none"/>
        </w:rPr>
        <w:t xml:space="preserve">.2.1 </w:t>
      </w:r>
      <w:bookmarkEnd w:id="291"/>
      <w:bookmarkEnd w:id="292"/>
      <w:bookmarkEnd w:id="293"/>
      <w:bookmarkEnd w:id="294"/>
      <w:bookmarkEnd w:id="295"/>
      <w:r>
        <w:rPr>
          <w:rFonts w:hint="eastAsia"/>
          <w:color w:val="auto"/>
          <w:highlight w:val="none"/>
        </w:rPr>
        <w:t>总的要求</w:t>
      </w:r>
    </w:p>
    <w:p>
      <w:pPr>
        <w:pStyle w:val="293"/>
        <w:ind w:firstLine="480"/>
        <w:rPr>
          <w:color w:val="auto"/>
          <w:highlight w:val="none"/>
        </w:rPr>
      </w:pPr>
      <w:r>
        <w:rPr>
          <w:rFonts w:hint="eastAsia"/>
          <w:color w:val="auto"/>
          <w:highlight w:val="none"/>
        </w:rPr>
        <w:t>原渠道</w:t>
      </w:r>
      <w:r>
        <w:rPr>
          <w:color w:val="auto"/>
          <w:highlight w:val="none"/>
        </w:rPr>
        <w:t>布置较合理，本次设计基本维持现状。</w:t>
      </w:r>
      <w:r>
        <w:rPr>
          <w:rFonts w:hint="eastAsia"/>
          <w:color w:val="auto"/>
          <w:highlight w:val="none"/>
          <w:lang w:eastAsia="zh-CN"/>
        </w:rPr>
        <w:t>本工程主要由渠道、水闸、机耕桥等建筑物组成。</w:t>
      </w:r>
      <w:r>
        <w:rPr>
          <w:color w:val="auto"/>
          <w:highlight w:val="none"/>
        </w:rPr>
        <w:t>其渠道按原渠线不变进行改造；对原有建筑物的改造，在能满足过流的条件下，根据建筑物结构的完整性能保留的就保留、能利用的就利用</w:t>
      </w:r>
      <w:r>
        <w:rPr>
          <w:rFonts w:hint="eastAsia"/>
          <w:color w:val="auto"/>
          <w:highlight w:val="none"/>
        </w:rPr>
        <w:t>。</w:t>
      </w:r>
    </w:p>
    <w:p>
      <w:pPr>
        <w:ind w:firstLine="480"/>
        <w:rPr>
          <w:color w:val="auto"/>
          <w:highlight w:val="none"/>
        </w:rPr>
      </w:pPr>
      <w:r>
        <w:rPr>
          <w:rFonts w:hint="eastAsia"/>
          <w:color w:val="auto"/>
          <w:highlight w:val="none"/>
        </w:rPr>
        <w:t>区内排水分高区和低区，高区指干渠及干渠外侧地势较高的地区，区内雨水，部分通过渠下涵直接穿过干渠排入集水区或河道，部分则进入渠道，再通过</w:t>
      </w:r>
      <w:r>
        <w:rPr>
          <w:rFonts w:hint="eastAsia"/>
          <w:color w:val="auto"/>
          <w:highlight w:val="none"/>
          <w:lang w:eastAsia="zh-CN"/>
        </w:rPr>
        <w:t>泄洪闸</w:t>
      </w:r>
      <w:r>
        <w:rPr>
          <w:rFonts w:hint="eastAsia"/>
          <w:color w:val="auto"/>
          <w:highlight w:val="none"/>
        </w:rPr>
        <w:t>排入集水区或河道。低区指干渠设计水位以下地区，区内排水由田间排水系统完成，就近排入周边排水渠道或河道。现状排水系统布置合理，本次工程维持现状，</w:t>
      </w:r>
      <w:r>
        <w:rPr>
          <w:color w:val="auto"/>
          <w:highlight w:val="none"/>
          <w:lang w:bidi="en-US"/>
        </w:rPr>
        <w:t>对局部不合理的渠段可根据实际情况进行局部调整、完善</w:t>
      </w:r>
      <w:r>
        <w:rPr>
          <w:rFonts w:hint="eastAsia"/>
          <w:color w:val="auto"/>
          <w:highlight w:val="none"/>
        </w:rPr>
        <w:t>。</w:t>
      </w:r>
    </w:p>
    <w:p>
      <w:pPr>
        <w:pStyle w:val="335"/>
        <w:spacing w:before="156" w:after="156"/>
        <w:rPr>
          <w:color w:val="auto"/>
          <w:highlight w:val="none"/>
        </w:rPr>
      </w:pPr>
      <w:r>
        <w:rPr>
          <w:rFonts w:hint="eastAsia"/>
          <w:color w:val="auto"/>
          <w:highlight w:val="none"/>
        </w:rPr>
        <w:t>5</w:t>
      </w:r>
      <w:r>
        <w:rPr>
          <w:color w:val="auto"/>
          <w:highlight w:val="none"/>
        </w:rPr>
        <w:t xml:space="preserve">.2.2 </w:t>
      </w:r>
      <w:r>
        <w:rPr>
          <w:rFonts w:hint="eastAsia"/>
          <w:color w:val="auto"/>
          <w:highlight w:val="none"/>
        </w:rPr>
        <w:t>水源及渠首工程</w:t>
      </w:r>
    </w:p>
    <w:p>
      <w:pPr>
        <w:ind w:firstLine="480"/>
        <w:rPr>
          <w:rFonts w:hint="eastAsia"/>
          <w:color w:val="auto"/>
          <w:highlight w:val="none"/>
          <w:lang w:val="en-US" w:eastAsia="zh-CN"/>
        </w:rPr>
      </w:pPr>
      <w:r>
        <w:rPr>
          <w:rFonts w:hint="default"/>
          <w:color w:val="auto"/>
          <w:highlight w:val="none"/>
          <w:lang w:val="en-US" w:eastAsia="zh-CN"/>
        </w:rPr>
        <w:t>根据《广州</w:t>
      </w:r>
      <w:r>
        <w:rPr>
          <w:rFonts w:hint="eastAsia"/>
          <w:color w:val="auto"/>
          <w:highlight w:val="none"/>
          <w:lang w:val="en-US" w:eastAsia="zh-CN"/>
        </w:rPr>
        <w:t>省</w:t>
      </w:r>
      <w:r>
        <w:rPr>
          <w:rFonts w:hint="default"/>
          <w:color w:val="auto"/>
          <w:highlight w:val="none"/>
          <w:lang w:val="en-US" w:eastAsia="zh-CN"/>
        </w:rPr>
        <w:t>山区小型灌区改造工程规划（2011-2020年）》</w:t>
      </w:r>
      <w:r>
        <w:rPr>
          <w:rFonts w:hint="eastAsia"/>
          <w:color w:val="auto"/>
          <w:highlight w:val="none"/>
          <w:lang w:val="en-US" w:eastAsia="zh-CN"/>
        </w:rPr>
        <w:t>（粤水农水[2012]2号），从化区温泉镇南大水库灌区干渠起点位于南大水库下游约2km小海河干流右岸，灌溉用水取自于小海河流域河水，渠首处设置引水闸，干渠流经温泉镇桃莲村、桃莲村、平岗村和龙桥村等，终点位于龙桥村，灌区干渠总长约38km，设计灌溉面积为8900亩，设计取水流量为1.50m³/s，取水水量1600万m³，主要灌溉农作物有水稻、蔬菜、花生、大豆类等。</w:t>
      </w:r>
    </w:p>
    <w:p>
      <w:pPr>
        <w:ind w:firstLine="480"/>
        <w:rPr>
          <w:rFonts w:hint="eastAsia"/>
          <w:color w:val="auto"/>
          <w:highlight w:val="none"/>
          <w:lang w:val="en-US" w:eastAsia="zh-CN"/>
        </w:rPr>
      </w:pPr>
      <w:r>
        <w:rPr>
          <w:rFonts w:hint="eastAsia"/>
          <w:color w:val="auto"/>
          <w:highlight w:val="none"/>
          <w:lang w:val="en-US" w:eastAsia="zh-CN"/>
        </w:rPr>
        <w:t>南大水库大坝为本灌区主要来水水源，</w:t>
      </w:r>
      <w:r>
        <w:rPr>
          <w:rFonts w:hint="eastAsia"/>
          <w:color w:val="auto"/>
          <w:highlight w:val="none"/>
          <w:lang w:val="en-US" w:eastAsia="zh-CN"/>
        </w:rPr>
        <w:t>由于大坝溢流面批荡脱落，存在不同程序的损坏等问题，影响了大坝的行洪安全，若不进行整治，会进一步影响下游灌区防洪安全</w:t>
      </w:r>
      <w:r>
        <w:rPr>
          <w:rFonts w:hint="eastAsia"/>
          <w:color w:val="auto"/>
          <w:highlight w:val="none"/>
          <w:lang w:val="en-US" w:eastAsia="zh-CN"/>
        </w:rPr>
        <w:t>。本次设计对大坝溢流面进行改造，新建C30钢筋混凝土溢流护面，共1168m²。</w:t>
      </w:r>
    </w:p>
    <w:bookmarkEnd w:id="296"/>
    <w:p>
      <w:pPr>
        <w:pStyle w:val="335"/>
        <w:spacing w:before="156" w:after="156"/>
        <w:rPr>
          <w:color w:val="auto"/>
          <w:highlight w:val="none"/>
        </w:rPr>
      </w:pPr>
      <w:bookmarkStart w:id="297" w:name="_Toc536295114"/>
      <w:r>
        <w:rPr>
          <w:rFonts w:hint="eastAsia"/>
          <w:color w:val="auto"/>
          <w:highlight w:val="none"/>
        </w:rPr>
        <w:t>5.2.3 渠系</w:t>
      </w:r>
    </w:p>
    <w:bookmarkEnd w:id="297"/>
    <w:p>
      <w:pPr>
        <w:ind w:firstLine="480"/>
        <w:rPr>
          <w:rFonts w:hint="eastAsia"/>
          <w:color w:val="auto"/>
          <w:highlight w:val="none"/>
          <w:lang w:val="en-US" w:eastAsia="zh-CN"/>
        </w:rPr>
      </w:pPr>
      <w:bookmarkStart w:id="298" w:name="_Toc107854119"/>
      <w:bookmarkStart w:id="299" w:name="_Toc31207883"/>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渠道进行三面光改造，改造起点位于温泉镇桃莲村委后（桩号0+000），距离干渠渠首约5.5km，终点位于从莞深高速公路穿路箱涵进水口（桩号1+207），改造总长1207m。</w:t>
      </w:r>
    </w:p>
    <w:p>
      <w:pPr>
        <w:ind w:firstLine="480"/>
        <w:rPr>
          <w:rFonts w:hint="eastAsia"/>
          <w:color w:val="auto"/>
          <w:highlight w:val="none"/>
          <w:lang w:val="en-US" w:eastAsia="zh-CN"/>
        </w:rPr>
      </w:pPr>
      <w:r>
        <w:rPr>
          <w:color w:val="auto"/>
          <w:highlight w:val="none"/>
        </w:rPr>
        <w:t>现状渠系位置、走向</w:t>
      </w:r>
      <w:r>
        <w:rPr>
          <w:rFonts w:hint="eastAsia"/>
          <w:color w:val="auto"/>
          <w:highlight w:val="none"/>
        </w:rPr>
        <w:t>、</w:t>
      </w:r>
      <w:r>
        <w:rPr>
          <w:color w:val="auto"/>
          <w:highlight w:val="none"/>
        </w:rPr>
        <w:t>渠线布置基本合理的，故渠道按原渠线不变进行改造。</w:t>
      </w:r>
      <w:r>
        <w:rPr>
          <w:rFonts w:hint="eastAsia"/>
          <w:color w:val="auto"/>
          <w:highlight w:val="none"/>
          <w:lang w:eastAsia="zh-CN"/>
        </w:rPr>
        <w:t>结合工程实际，本工程</w:t>
      </w:r>
      <w:r>
        <w:rPr>
          <w:rFonts w:hint="eastAsia"/>
          <w:color w:val="auto"/>
          <w:highlight w:val="none"/>
          <w:lang w:val="en-US" w:eastAsia="zh-CN"/>
        </w:rPr>
        <w:t>0+000~1+207渠段设计为浆砌石梯形渠道，渠底宽为2.6m，高为1.8m，边坡为1:0.4，长为1207m。</w:t>
      </w:r>
    </w:p>
    <w:p>
      <w:pPr>
        <w:pStyle w:val="335"/>
        <w:spacing w:before="156" w:after="156"/>
        <w:rPr>
          <w:color w:val="auto"/>
          <w:highlight w:val="none"/>
          <w:lang w:bidi="en-US"/>
        </w:rPr>
      </w:pPr>
      <w:r>
        <w:rPr>
          <w:rFonts w:hint="eastAsia"/>
          <w:color w:val="auto"/>
          <w:highlight w:val="none"/>
          <w:lang w:bidi="en-US"/>
        </w:rPr>
        <w:t>5.2.4 灌排建筑物</w:t>
      </w:r>
    </w:p>
    <w:p>
      <w:pPr>
        <w:ind w:firstLine="480"/>
        <w:rPr>
          <w:rFonts w:hint="eastAsia"/>
          <w:color w:val="auto"/>
          <w:kern w:val="0"/>
          <w:highlight w:val="none"/>
          <w:lang w:val="en-US" w:eastAsia="zh-CN" w:bidi="en-US"/>
        </w:rPr>
      </w:pPr>
      <w:r>
        <w:rPr>
          <w:rFonts w:hint="eastAsia"/>
          <w:color w:val="auto"/>
          <w:kern w:val="0"/>
          <w:highlight w:val="none"/>
          <w:lang w:eastAsia="zh-CN" w:bidi="en-US"/>
        </w:rPr>
        <w:t>结合工程实际，本工程</w:t>
      </w:r>
      <w:r>
        <w:rPr>
          <w:rFonts w:hint="eastAsia"/>
          <w:color w:val="auto"/>
          <w:kern w:val="0"/>
          <w:highlight w:val="none"/>
          <w:lang w:val="en-US" w:eastAsia="zh-CN" w:bidi="en-US"/>
        </w:rPr>
        <w:t>设计布置泄洪闸3座，分别布置在0+005，0+100，1+000。</w:t>
      </w:r>
    </w:p>
    <w:p>
      <w:pPr>
        <w:ind w:firstLine="480"/>
        <w:rPr>
          <w:rFonts w:hint="eastAsia"/>
          <w:color w:val="auto"/>
          <w:highlight w:val="none"/>
          <w:lang w:val="en-US" w:eastAsia="zh-CN"/>
        </w:rPr>
      </w:pPr>
      <w:r>
        <w:rPr>
          <w:rFonts w:hint="eastAsia"/>
          <w:color w:val="auto"/>
          <w:highlight w:val="none"/>
          <w:lang w:val="en-US" w:eastAsia="zh-CN"/>
        </w:rPr>
        <w:t>由于本工程灌溉渠道右侧均为原状山体，山体十分陡峭，根据渠道几十年的运行情况，在遇到暴雨时，很容易出现山体塌方，塌方土方堵塞渠道，导致无法排泄山洪引起外渠堤塌方，严重影响渠道安全，结合实际需要，本次设计考虑在1+000处新建泄洪闸1座，对0+005及0+100处水闸进行拆除重建。</w:t>
      </w:r>
    </w:p>
    <w:bookmarkEnd w:id="298"/>
    <w:bookmarkEnd w:id="299"/>
    <w:p>
      <w:pPr>
        <w:pStyle w:val="3"/>
        <w:rPr>
          <w:color w:val="auto"/>
          <w:highlight w:val="none"/>
        </w:rPr>
      </w:pPr>
      <w:bookmarkStart w:id="300" w:name="_Toc107019714"/>
      <w:bookmarkStart w:id="301" w:name="_Toc107854120"/>
      <w:bookmarkStart w:id="302" w:name="_Toc125459337"/>
      <w:bookmarkStart w:id="303" w:name="_Toc114568864"/>
      <w:bookmarkStart w:id="304" w:name="_Toc116475815"/>
      <w:bookmarkStart w:id="305" w:name="_Toc31207884"/>
      <w:bookmarkStart w:id="306" w:name="_Toc415834290"/>
      <w:bookmarkStart w:id="307" w:name="_Toc536295115"/>
      <w:bookmarkStart w:id="308" w:name="_Toc26264"/>
      <w:r>
        <w:rPr>
          <w:rFonts w:hint="eastAsia"/>
          <w:color w:val="auto"/>
          <w:highlight w:val="none"/>
        </w:rPr>
        <w:t>5</w:t>
      </w:r>
      <w:r>
        <w:rPr>
          <w:color w:val="auto"/>
          <w:highlight w:val="none"/>
        </w:rPr>
        <w:t xml:space="preserve">.3 </w:t>
      </w:r>
      <w:bookmarkEnd w:id="300"/>
      <w:bookmarkEnd w:id="301"/>
      <w:bookmarkEnd w:id="302"/>
      <w:bookmarkEnd w:id="303"/>
      <w:bookmarkEnd w:id="304"/>
      <w:bookmarkEnd w:id="305"/>
      <w:r>
        <w:rPr>
          <w:rFonts w:hint="eastAsia"/>
          <w:color w:val="auto"/>
          <w:highlight w:val="none"/>
        </w:rPr>
        <w:t>渠道及建筑物工程设计</w:t>
      </w:r>
      <w:bookmarkEnd w:id="306"/>
      <w:bookmarkEnd w:id="307"/>
      <w:bookmarkEnd w:id="308"/>
    </w:p>
    <w:p>
      <w:pPr>
        <w:pStyle w:val="335"/>
        <w:spacing w:before="156" w:after="156"/>
        <w:rPr>
          <w:color w:val="auto"/>
          <w:highlight w:val="none"/>
        </w:rPr>
      </w:pPr>
      <w:bookmarkStart w:id="309" w:name="_Toc536295116"/>
      <w:bookmarkStart w:id="310" w:name="_Toc107854121"/>
      <w:bookmarkStart w:id="311" w:name="_Toc31207885"/>
      <w:r>
        <w:rPr>
          <w:rFonts w:hint="eastAsia"/>
          <w:color w:val="auto"/>
          <w:highlight w:val="none"/>
        </w:rPr>
        <w:t>5</w:t>
      </w:r>
      <w:r>
        <w:rPr>
          <w:color w:val="auto"/>
          <w:highlight w:val="none"/>
        </w:rPr>
        <w:t>.3.</w:t>
      </w:r>
      <w:r>
        <w:rPr>
          <w:rFonts w:hint="eastAsia"/>
          <w:color w:val="auto"/>
          <w:highlight w:val="none"/>
        </w:rPr>
        <w:t>1</w:t>
      </w:r>
      <w:r>
        <w:rPr>
          <w:color w:val="auto"/>
          <w:highlight w:val="none"/>
        </w:rPr>
        <w:t xml:space="preserve"> </w:t>
      </w:r>
      <w:r>
        <w:rPr>
          <w:rFonts w:hint="eastAsia"/>
          <w:color w:val="auto"/>
          <w:highlight w:val="none"/>
        </w:rPr>
        <w:t>渠道纵断面设计</w:t>
      </w:r>
      <w:bookmarkEnd w:id="309"/>
    </w:p>
    <w:p>
      <w:pPr>
        <w:adjustRightInd w:val="0"/>
        <w:snapToGrid w:val="0"/>
        <w:ind w:left="41" w:leftChars="17" w:firstLine="480"/>
        <w:rPr>
          <w:color w:val="auto"/>
          <w:kern w:val="0"/>
          <w:highlight w:val="none"/>
          <w:lang w:bidi="en-US"/>
        </w:rPr>
      </w:pPr>
      <w:r>
        <w:rPr>
          <w:rFonts w:hint="eastAsia"/>
          <w:color w:val="auto"/>
          <w:kern w:val="0"/>
          <w:highlight w:val="none"/>
          <w:lang w:bidi="en-US"/>
        </w:rPr>
        <w:t>1)</w:t>
      </w:r>
      <w:r>
        <w:rPr>
          <w:color w:val="auto"/>
          <w:kern w:val="0"/>
          <w:highlight w:val="none"/>
          <w:lang w:bidi="en-US"/>
        </w:rPr>
        <w:t xml:space="preserve">  </w:t>
      </w:r>
      <w:r>
        <w:rPr>
          <w:rFonts w:hint="eastAsia"/>
          <w:color w:val="auto"/>
          <w:kern w:val="0"/>
          <w:highlight w:val="none"/>
          <w:lang w:bidi="en-US"/>
        </w:rPr>
        <w:t>纵断面设计</w:t>
      </w:r>
    </w:p>
    <w:p>
      <w:pPr>
        <w:pStyle w:val="293"/>
        <w:ind w:firstLine="480"/>
        <w:rPr>
          <w:rFonts w:ascii="Times New Roman" w:hAnsi="Times New Roman" w:cs="Times New Roman"/>
          <w:color w:val="auto"/>
          <w:kern w:val="0"/>
          <w:highlight w:val="none"/>
          <w:lang w:bidi="en-US"/>
        </w:rPr>
      </w:pPr>
      <w:r>
        <w:rPr>
          <w:rFonts w:ascii="Times New Roman" w:hAnsi="Times New Roman" w:cs="Times New Roman"/>
          <w:color w:val="auto"/>
          <w:highlight w:val="none"/>
        </w:rPr>
        <w:t>由于渠线布置基本没有大的调整，</w:t>
      </w:r>
      <w:r>
        <w:rPr>
          <w:rFonts w:ascii="Times New Roman" w:hAnsi="Times New Roman" w:cs="Times New Roman"/>
          <w:color w:val="auto"/>
          <w:kern w:val="0"/>
          <w:highlight w:val="none"/>
          <w:lang w:bidi="en-US"/>
        </w:rPr>
        <w:t>基本上都是对</w:t>
      </w:r>
      <w:r>
        <w:rPr>
          <w:rFonts w:hint="eastAsia" w:ascii="Times New Roman" w:hAnsi="Times New Roman" w:cs="Times New Roman"/>
          <w:color w:val="auto"/>
          <w:kern w:val="0"/>
          <w:highlight w:val="none"/>
          <w:lang w:eastAsia="zh-CN" w:bidi="en-US"/>
        </w:rPr>
        <w:t>原</w:t>
      </w:r>
      <w:r>
        <w:rPr>
          <w:rFonts w:ascii="Times New Roman" w:hAnsi="Times New Roman" w:cs="Times New Roman"/>
          <w:color w:val="auto"/>
          <w:kern w:val="0"/>
          <w:highlight w:val="none"/>
          <w:lang w:bidi="en-US"/>
        </w:rPr>
        <w:t>渠道</w:t>
      </w:r>
      <w:r>
        <w:rPr>
          <w:rFonts w:hint="eastAsia" w:ascii="Times New Roman" w:hAnsi="Times New Roman" w:cs="Times New Roman"/>
          <w:color w:val="auto"/>
          <w:kern w:val="0"/>
          <w:highlight w:val="none"/>
          <w:lang w:eastAsia="zh-CN" w:bidi="en-US"/>
        </w:rPr>
        <w:t>进行三面光改造，</w:t>
      </w:r>
      <w:r>
        <w:rPr>
          <w:rFonts w:ascii="Times New Roman" w:hAnsi="Times New Roman" w:cs="Times New Roman"/>
          <w:color w:val="auto"/>
          <w:kern w:val="0"/>
          <w:highlight w:val="none"/>
          <w:lang w:bidi="en-US"/>
        </w:rPr>
        <w:t>不改变现有渠道的纵断面；</w:t>
      </w:r>
      <w:r>
        <w:rPr>
          <w:rFonts w:ascii="Times New Roman" w:hAnsi="Times New Roman" w:cs="Times New Roman"/>
          <w:color w:val="auto"/>
          <w:highlight w:val="none"/>
        </w:rPr>
        <w:t>纵断面总的设计原则是：（1）最大限度的利用原有渠道，避免大面积、大方量的土方挖填；（2）以原控制性建筑物作为控制断面，分段进行渠底纵坡复核，对局部不合理渠段进行改造；（3）尽可能满足渠道上下游水面衔接，避免上下游出现大的水面变化；（4）根据渠段引水流量，在满足渠道不冲、不淤流速前提下，力求渠道断面最小。</w:t>
      </w:r>
    </w:p>
    <w:p>
      <w:pPr>
        <w:pStyle w:val="293"/>
        <w:ind w:firstLine="480"/>
        <w:rPr>
          <w:rFonts w:ascii="Times New Roman" w:hAnsi="Times New Roman" w:cs="Times New Roman"/>
          <w:color w:val="auto"/>
          <w:highlight w:val="none"/>
        </w:rPr>
      </w:pPr>
      <w:r>
        <w:rPr>
          <w:rFonts w:ascii="Times New Roman" w:hAnsi="Times New Roman" w:cs="Times New Roman"/>
          <w:color w:val="auto"/>
          <w:highlight w:val="none"/>
        </w:rPr>
        <w:t>渠道水面线采用明渠恒定非均匀流水面线推求方法计算。由下游端水位Z</w:t>
      </w:r>
      <w:r>
        <w:rPr>
          <w:rFonts w:ascii="Times New Roman" w:hAnsi="Times New Roman" w:cs="Times New Roman"/>
          <w:color w:val="auto"/>
          <w:highlight w:val="none"/>
          <w:vertAlign w:val="subscript"/>
        </w:rPr>
        <w:t>1</w:t>
      </w:r>
      <w:r>
        <w:rPr>
          <w:rFonts w:ascii="Times New Roman" w:hAnsi="Times New Roman" w:cs="Times New Roman"/>
          <w:color w:val="auto"/>
          <w:highlight w:val="none"/>
        </w:rPr>
        <w:t>、</w:t>
      </w:r>
      <w:r>
        <w:rPr>
          <w:rStyle w:val="294"/>
          <w:rFonts w:ascii="Times New Roman" w:hAnsi="Times New Roman" w:cs="Times New Roman"/>
          <w:color w:val="auto"/>
          <w:highlight w:val="none"/>
        </w:rPr>
        <w:t>沿程水头损失</w:t>
      </w:r>
      <w:r>
        <w:rPr>
          <w:rFonts w:ascii="Times New Roman" w:hAnsi="Times New Roman" w:cs="Times New Roman"/>
          <w:color w:val="auto"/>
          <w:position w:val="-14"/>
          <w:highlight w:val="none"/>
        </w:rPr>
        <w:object>
          <v:shape id="_x0000_i1034" o:spt="75" type="#_x0000_t75" style="height:19.5pt;width:21.75pt;" o:ole="t" filled="f" o:preferrelative="t" stroked="f" coordsize="21600,21600">
            <v:path/>
            <v:fill on="f" focussize="0,0"/>
            <v:stroke on="f" joinstyle="miter"/>
            <v:imagedata r:id="rId62" o:title=""/>
            <o:lock v:ext="edit" aspectratio="t"/>
            <w10:wrap type="none"/>
            <w10:anchorlock/>
          </v:shape>
          <o:OLEObject Type="Embed" ProgID="Equation.3" ShapeID="_x0000_i1034" DrawAspect="Content" ObjectID="_1468075734" r:id="rId61">
            <o:LockedField>false</o:LockedField>
          </o:OLEObject>
        </w:object>
      </w:r>
      <w:r>
        <w:rPr>
          <w:rStyle w:val="294"/>
          <w:rFonts w:ascii="Times New Roman" w:hAnsi="Times New Roman" w:cs="Times New Roman"/>
          <w:color w:val="auto"/>
          <w:highlight w:val="none"/>
        </w:rPr>
        <w:t>与局部水头损失</w:t>
      </w:r>
      <w:r>
        <w:rPr>
          <w:rFonts w:ascii="Times New Roman" w:hAnsi="Times New Roman" w:cs="Times New Roman"/>
          <w:color w:val="auto"/>
          <w:position w:val="-14"/>
          <w:highlight w:val="none"/>
        </w:rPr>
        <w:object>
          <v:shape id="_x0000_i1035" o:spt="75" type="#_x0000_t75" style="height:19.5pt;width:21.75pt;" o:ole="t" filled="f" o:preferrelative="t" stroked="f" coordsize="21600,21600">
            <v:path/>
            <v:fill on="f" focussize="0,0"/>
            <v:stroke on="f" joinstyle="miter"/>
            <v:imagedata r:id="rId64" o:title=""/>
            <o:lock v:ext="edit" aspectratio="t"/>
            <w10:wrap type="none"/>
            <w10:anchorlock/>
          </v:shape>
          <o:OLEObject Type="Embed" ProgID="Equation.3" ShapeID="_x0000_i1035" DrawAspect="Content" ObjectID="_1468075735" r:id="rId63">
            <o:LockedField>false</o:LockedField>
          </o:OLEObject>
        </w:object>
      </w:r>
      <w:r>
        <w:rPr>
          <w:rFonts w:ascii="Times New Roman" w:hAnsi="Times New Roman" w:cs="Times New Roman"/>
          <w:color w:val="auto"/>
          <w:highlight w:val="none"/>
        </w:rPr>
        <w:t>，推求上游端水位Z</w:t>
      </w:r>
      <w:r>
        <w:rPr>
          <w:rFonts w:ascii="Times New Roman" w:hAnsi="Times New Roman" w:cs="Times New Roman"/>
          <w:color w:val="auto"/>
          <w:highlight w:val="none"/>
          <w:vertAlign w:val="subscript"/>
        </w:rPr>
        <w:t>2</w:t>
      </w:r>
      <w:r>
        <w:rPr>
          <w:rFonts w:ascii="Times New Roman" w:hAnsi="Times New Roman" w:cs="Times New Roman"/>
          <w:color w:val="auto"/>
          <w:highlight w:val="none"/>
        </w:rPr>
        <w:t>，依次进行直至推求出渠道的水面曲线。现状渠段大部分已经实现硬底化，本次工程对损坏处进行防渗改造加固，改造后渠道糙率统一采用0.</w:t>
      </w:r>
      <w:r>
        <w:rPr>
          <w:rFonts w:hint="eastAsia" w:ascii="Times New Roman" w:hAnsi="Times New Roman" w:cs="Times New Roman"/>
          <w:color w:val="auto"/>
          <w:highlight w:val="none"/>
        </w:rPr>
        <w:t>01</w:t>
      </w:r>
      <w:r>
        <w:rPr>
          <w:rFonts w:hint="eastAsia" w:ascii="Times New Roman" w:hAnsi="Times New Roman" w:cs="Times New Roman"/>
          <w:color w:val="auto"/>
          <w:highlight w:val="none"/>
          <w:lang w:val="en-US" w:eastAsia="zh-CN"/>
        </w:rPr>
        <w:t>7</w:t>
      </w:r>
      <w:r>
        <w:rPr>
          <w:rFonts w:ascii="Times New Roman" w:hAnsi="Times New Roman" w:cs="Times New Roman"/>
          <w:color w:val="auto"/>
          <w:highlight w:val="none"/>
        </w:rPr>
        <w:t>。水面线推求分段原则：每一计算段流量一致，有涵洞、渡槽、倒虹吸等建筑物的位置必须分段。</w:t>
      </w:r>
    </w:p>
    <w:p>
      <w:pPr>
        <w:pStyle w:val="293"/>
        <w:ind w:firstLine="480"/>
        <w:rPr>
          <w:rFonts w:ascii="Times New Roman" w:hAnsi="Times New Roman" w:cs="Times New Roman"/>
          <w:color w:val="auto"/>
          <w:highlight w:val="none"/>
        </w:rPr>
      </w:pPr>
      <w:r>
        <w:rPr>
          <w:rFonts w:ascii="Times New Roman" w:hAnsi="Times New Roman" w:cs="Times New Roman"/>
          <w:color w:val="auto"/>
          <w:highlight w:val="none"/>
        </w:rPr>
        <w:t>水面线推算公式：</w:t>
      </w:r>
    </w:p>
    <w:p>
      <w:pPr>
        <w:ind w:firstLine="560"/>
        <w:rPr>
          <w:color w:val="auto"/>
          <w:sz w:val="28"/>
          <w:szCs w:val="28"/>
          <w:highlight w:val="none"/>
        </w:rPr>
      </w:pPr>
      <w:r>
        <w:rPr>
          <w:color w:val="auto"/>
          <w:position w:val="-28"/>
          <w:sz w:val="28"/>
          <w:szCs w:val="28"/>
          <w:highlight w:val="none"/>
        </w:rPr>
        <w:object>
          <v:shape id="_x0000_i1036" o:spt="75" type="#_x0000_t75" style="height:36.75pt;width:180.75pt;" o:ole="t" filled="f" o:preferrelative="t" stroked="f" coordsize="21600,21600">
            <v:path/>
            <v:fill on="f" focussize="0,0"/>
            <v:stroke on="f" joinstyle="miter"/>
            <v:imagedata r:id="rId66" o:title=""/>
            <o:lock v:ext="edit" aspectratio="t"/>
            <w10:wrap type="none"/>
            <w10:anchorlock/>
          </v:shape>
          <o:OLEObject Type="Embed" ProgID="Equation.3" ShapeID="_x0000_i1036" DrawAspect="Content" ObjectID="_1468075736" r:id="rId65">
            <o:LockedField>false</o:LockedField>
          </o:OLEObject>
        </w:object>
      </w:r>
    </w:p>
    <w:p>
      <w:pPr>
        <w:ind w:firstLine="480"/>
        <w:rPr>
          <w:rStyle w:val="294"/>
          <w:rFonts w:ascii="Times New Roman" w:hAnsi="Times New Roman" w:cs="Times New Roman"/>
          <w:color w:val="auto"/>
          <w:highlight w:val="none"/>
        </w:rPr>
      </w:pPr>
      <w:r>
        <w:rPr>
          <w:rStyle w:val="294"/>
          <w:rFonts w:ascii="Times New Roman" w:hAnsi="Times New Roman" w:cs="Times New Roman"/>
          <w:color w:val="auto"/>
          <w:highlight w:val="none"/>
        </w:rPr>
        <w:t>式中：</w:t>
      </w:r>
      <w:r>
        <w:rPr>
          <w:color w:val="auto"/>
          <w:sz w:val="28"/>
          <w:szCs w:val="28"/>
          <w:highlight w:val="none"/>
        </w:rPr>
        <w:t>Z</w:t>
      </w:r>
      <w:r>
        <w:rPr>
          <w:color w:val="auto"/>
          <w:sz w:val="28"/>
          <w:szCs w:val="28"/>
          <w:highlight w:val="none"/>
          <w:vertAlign w:val="subscript"/>
        </w:rPr>
        <w:t>1</w:t>
      </w:r>
      <w:r>
        <w:rPr>
          <w:color w:val="auto"/>
          <w:sz w:val="28"/>
          <w:szCs w:val="28"/>
          <w:highlight w:val="none"/>
        </w:rPr>
        <w:t>、Z</w:t>
      </w:r>
      <w:r>
        <w:rPr>
          <w:color w:val="auto"/>
          <w:sz w:val="28"/>
          <w:szCs w:val="28"/>
          <w:highlight w:val="none"/>
          <w:vertAlign w:val="subscript"/>
        </w:rPr>
        <w:t>2</w:t>
      </w:r>
      <w:r>
        <w:rPr>
          <w:color w:val="auto"/>
          <w:sz w:val="28"/>
          <w:szCs w:val="28"/>
          <w:highlight w:val="none"/>
        </w:rPr>
        <w:t>——</w:t>
      </w:r>
      <w:r>
        <w:rPr>
          <w:rStyle w:val="294"/>
          <w:rFonts w:ascii="Times New Roman" w:hAnsi="Times New Roman" w:cs="Times New Roman"/>
          <w:color w:val="auto"/>
          <w:highlight w:val="none"/>
        </w:rPr>
        <w:t>断面1、2的水位；</w:t>
      </w:r>
    </w:p>
    <w:p>
      <w:pPr>
        <w:ind w:firstLine="560"/>
        <w:rPr>
          <w:rStyle w:val="294"/>
          <w:rFonts w:ascii="Times New Roman" w:hAnsi="Times New Roman" w:cs="Times New Roman"/>
          <w:color w:val="auto"/>
          <w:highlight w:val="none"/>
        </w:rPr>
      </w:pPr>
      <w:r>
        <w:rPr>
          <w:color w:val="auto"/>
          <w:sz w:val="28"/>
          <w:szCs w:val="28"/>
          <w:highlight w:val="none"/>
        </w:rPr>
        <w:t xml:space="preserve">     V</w:t>
      </w:r>
      <w:r>
        <w:rPr>
          <w:color w:val="auto"/>
          <w:sz w:val="28"/>
          <w:szCs w:val="28"/>
          <w:highlight w:val="none"/>
          <w:vertAlign w:val="subscript"/>
        </w:rPr>
        <w:t>1</w:t>
      </w:r>
      <w:r>
        <w:rPr>
          <w:color w:val="auto"/>
          <w:sz w:val="28"/>
          <w:szCs w:val="28"/>
          <w:highlight w:val="none"/>
        </w:rPr>
        <w:t>、V</w:t>
      </w:r>
      <w:r>
        <w:rPr>
          <w:color w:val="auto"/>
          <w:sz w:val="28"/>
          <w:szCs w:val="28"/>
          <w:highlight w:val="none"/>
          <w:vertAlign w:val="subscript"/>
        </w:rPr>
        <w:t>2</w:t>
      </w:r>
      <w:r>
        <w:rPr>
          <w:color w:val="auto"/>
          <w:sz w:val="28"/>
          <w:szCs w:val="28"/>
          <w:highlight w:val="none"/>
        </w:rPr>
        <w:t>——</w:t>
      </w:r>
      <w:r>
        <w:rPr>
          <w:rStyle w:val="294"/>
          <w:rFonts w:ascii="Times New Roman" w:hAnsi="Times New Roman" w:cs="Times New Roman"/>
          <w:color w:val="auto"/>
          <w:highlight w:val="none"/>
        </w:rPr>
        <w:t>断面1、2的流速；</w:t>
      </w:r>
    </w:p>
    <w:p>
      <w:pPr>
        <w:ind w:firstLine="560"/>
        <w:rPr>
          <w:rStyle w:val="294"/>
          <w:rFonts w:ascii="Times New Roman" w:hAnsi="Times New Roman" w:cs="Times New Roman"/>
          <w:color w:val="auto"/>
          <w:highlight w:val="none"/>
        </w:rPr>
      </w:pPr>
      <w:r>
        <w:rPr>
          <w:color w:val="auto"/>
          <w:sz w:val="28"/>
          <w:szCs w:val="28"/>
          <w:highlight w:val="none"/>
        </w:rPr>
        <w:t xml:space="preserve">     α</w:t>
      </w:r>
      <w:r>
        <w:rPr>
          <w:color w:val="auto"/>
          <w:sz w:val="28"/>
          <w:szCs w:val="28"/>
          <w:highlight w:val="none"/>
          <w:vertAlign w:val="subscript"/>
        </w:rPr>
        <w:t>1</w:t>
      </w:r>
      <w:r>
        <w:rPr>
          <w:color w:val="auto"/>
          <w:sz w:val="28"/>
          <w:szCs w:val="28"/>
          <w:highlight w:val="none"/>
        </w:rPr>
        <w:t>、α</w:t>
      </w:r>
      <w:r>
        <w:rPr>
          <w:color w:val="auto"/>
          <w:sz w:val="28"/>
          <w:szCs w:val="28"/>
          <w:highlight w:val="none"/>
          <w:vertAlign w:val="subscript"/>
        </w:rPr>
        <w:t>2</w:t>
      </w:r>
      <w:r>
        <w:rPr>
          <w:color w:val="auto"/>
          <w:sz w:val="28"/>
          <w:szCs w:val="28"/>
          <w:highlight w:val="none"/>
        </w:rPr>
        <w:t>——</w:t>
      </w:r>
      <w:r>
        <w:rPr>
          <w:rStyle w:val="294"/>
          <w:rFonts w:ascii="Times New Roman" w:hAnsi="Times New Roman" w:cs="Times New Roman"/>
          <w:color w:val="auto"/>
          <w:highlight w:val="none"/>
        </w:rPr>
        <w:t>断面1、2的动能校正系数；</w:t>
      </w:r>
    </w:p>
    <w:p>
      <w:pPr>
        <w:ind w:firstLine="560"/>
        <w:rPr>
          <w:rStyle w:val="294"/>
          <w:rFonts w:ascii="Times New Roman" w:hAnsi="Times New Roman" w:cs="Times New Roman"/>
          <w:color w:val="auto"/>
          <w:highlight w:val="none"/>
        </w:rPr>
      </w:pPr>
      <w:r>
        <w:rPr>
          <w:color w:val="auto"/>
          <w:sz w:val="28"/>
          <w:szCs w:val="28"/>
          <w:highlight w:val="none"/>
        </w:rPr>
        <w:t xml:space="preserve">     </w:t>
      </w:r>
      <w:r>
        <w:rPr>
          <w:color w:val="auto"/>
          <w:position w:val="-14"/>
          <w:sz w:val="28"/>
          <w:szCs w:val="28"/>
          <w:highlight w:val="none"/>
        </w:rPr>
        <w:object>
          <v:shape id="_x0000_i1037" o:spt="75" type="#_x0000_t75" style="height:19.5pt;width:21.75pt;" o:ole="t" filled="f" o:preferrelative="t" stroked="f" coordsize="21600,21600">
            <v:path/>
            <v:fill on="f" focussize="0,0"/>
            <v:stroke on="f" joinstyle="miter"/>
            <v:imagedata r:id="rId62" o:title=""/>
            <o:lock v:ext="edit" aspectratio="t"/>
            <w10:wrap type="none"/>
            <w10:anchorlock/>
          </v:shape>
          <o:OLEObject Type="Embed" ProgID="Equation.3" ShapeID="_x0000_i1037" DrawAspect="Content" ObjectID="_1468075737" r:id="rId67">
            <o:LockedField>false</o:LockedField>
          </o:OLEObject>
        </w:object>
      </w:r>
      <w:r>
        <w:rPr>
          <w:color w:val="auto"/>
          <w:sz w:val="28"/>
          <w:szCs w:val="28"/>
          <w:highlight w:val="none"/>
        </w:rPr>
        <w:t>、</w:t>
      </w:r>
      <w:r>
        <w:rPr>
          <w:color w:val="auto"/>
          <w:position w:val="-14"/>
          <w:sz w:val="28"/>
          <w:szCs w:val="28"/>
          <w:highlight w:val="none"/>
        </w:rPr>
        <w:object>
          <v:shape id="_x0000_i1038" o:spt="75" type="#_x0000_t75" style="height:19.5pt;width:21.75pt;" o:ole="t" filled="f" o:preferrelative="t" stroked="f" coordsize="21600,21600">
            <v:path/>
            <v:fill on="f" focussize="0,0"/>
            <v:stroke on="f" joinstyle="miter"/>
            <v:imagedata r:id="rId69" o:title=""/>
            <o:lock v:ext="edit" aspectratio="t"/>
            <w10:wrap type="none"/>
            <w10:anchorlock/>
          </v:shape>
          <o:OLEObject Type="Embed" ProgID="Equation.3" ShapeID="_x0000_i1038" DrawAspect="Content" ObjectID="_1468075738" r:id="rId68">
            <o:LockedField>false</o:LockedField>
          </o:OLEObject>
        </w:object>
      </w:r>
      <w:r>
        <w:rPr>
          <w:color w:val="auto"/>
          <w:sz w:val="28"/>
          <w:szCs w:val="28"/>
          <w:highlight w:val="none"/>
        </w:rPr>
        <w:t>——</w:t>
      </w:r>
      <w:r>
        <w:rPr>
          <w:rStyle w:val="294"/>
          <w:rFonts w:ascii="Times New Roman" w:hAnsi="Times New Roman" w:cs="Times New Roman"/>
          <w:color w:val="auto"/>
          <w:highlight w:val="none"/>
        </w:rPr>
        <w:t>沿程水头损失与局部水头损失。</w:t>
      </w:r>
    </w:p>
    <w:p>
      <w:pPr>
        <w:pStyle w:val="335"/>
        <w:spacing w:before="156" w:after="156"/>
        <w:rPr>
          <w:color w:val="auto"/>
          <w:highlight w:val="none"/>
        </w:rPr>
      </w:pPr>
      <w:bookmarkStart w:id="312" w:name="_Toc536295117"/>
      <w:r>
        <w:rPr>
          <w:rFonts w:hint="eastAsia"/>
          <w:color w:val="auto"/>
          <w:highlight w:val="none"/>
        </w:rPr>
        <w:t>5</w:t>
      </w:r>
      <w:r>
        <w:rPr>
          <w:color w:val="auto"/>
          <w:highlight w:val="none"/>
        </w:rPr>
        <w:t>.3.</w:t>
      </w:r>
      <w:r>
        <w:rPr>
          <w:rFonts w:hint="eastAsia"/>
          <w:color w:val="auto"/>
          <w:highlight w:val="none"/>
        </w:rPr>
        <w:t>2</w:t>
      </w:r>
      <w:r>
        <w:rPr>
          <w:color w:val="auto"/>
          <w:highlight w:val="none"/>
        </w:rPr>
        <w:t xml:space="preserve"> </w:t>
      </w:r>
      <w:bookmarkEnd w:id="310"/>
      <w:bookmarkEnd w:id="311"/>
      <w:r>
        <w:rPr>
          <w:rFonts w:hint="eastAsia"/>
          <w:color w:val="auto"/>
          <w:highlight w:val="none"/>
        </w:rPr>
        <w:t>渠道横断面设计</w:t>
      </w:r>
      <w:bookmarkEnd w:id="312"/>
    </w:p>
    <w:p>
      <w:pPr>
        <w:ind w:firstLine="480"/>
        <w:rPr>
          <w:color w:val="auto"/>
          <w:highlight w:val="none"/>
        </w:rPr>
      </w:pPr>
      <w:bookmarkStart w:id="313" w:name="_Toc107854123"/>
      <w:bookmarkStart w:id="314" w:name="_Toc31207888"/>
      <w:r>
        <w:rPr>
          <w:rFonts w:hint="eastAsia"/>
          <w:color w:val="auto"/>
          <w:highlight w:val="none"/>
        </w:rPr>
        <w:t>（1）渠道改造措施</w:t>
      </w:r>
    </w:p>
    <w:p>
      <w:pPr>
        <w:ind w:firstLine="480"/>
        <w:rPr>
          <w:rFonts w:hint="eastAsia"/>
          <w:color w:val="auto"/>
          <w:highlight w:val="none"/>
          <w:lang w:val="en-US" w:eastAsia="zh-CN"/>
        </w:rPr>
      </w:pPr>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渠道进行三面光改造，改造起点位于温泉镇桃莲村委后（桩号0+000），距离干渠渠首约5.5km，终点位于从莞深高速公路穿路箱涵进水口（桩号1+207），改造总长1207m。</w:t>
      </w:r>
    </w:p>
    <w:p>
      <w:pPr>
        <w:ind w:firstLine="480"/>
        <w:rPr>
          <w:rFonts w:hint="eastAsia"/>
          <w:color w:val="auto"/>
          <w:highlight w:val="none"/>
          <w:lang w:val="en-US" w:eastAsia="zh-CN"/>
        </w:rPr>
      </w:pPr>
      <w:r>
        <w:rPr>
          <w:rFonts w:hint="eastAsia"/>
          <w:color w:val="auto"/>
          <w:highlight w:val="none"/>
          <w:lang w:eastAsia="zh-CN"/>
        </w:rPr>
        <w:t>结合工程实际，本工程</w:t>
      </w:r>
      <w:r>
        <w:rPr>
          <w:rFonts w:hint="eastAsia"/>
          <w:color w:val="auto"/>
          <w:highlight w:val="none"/>
          <w:lang w:val="en-US" w:eastAsia="zh-CN"/>
        </w:rPr>
        <w:t>0+000~1+207渠段设计为浆砌石梯形渠道，渠底宽为2.6m，高为1.8m，边坡为1:0.4，长为1207m。</w:t>
      </w:r>
    </w:p>
    <w:p>
      <w:pPr>
        <w:ind w:firstLine="480"/>
        <w:rPr>
          <w:color w:val="auto"/>
          <w:highlight w:val="none"/>
        </w:rPr>
      </w:pPr>
      <w:r>
        <w:rPr>
          <w:rFonts w:hint="eastAsia"/>
          <w:color w:val="auto"/>
          <w:highlight w:val="none"/>
        </w:rPr>
        <w:t>（2）横断面形式</w:t>
      </w:r>
    </w:p>
    <w:p>
      <w:pPr>
        <w:ind w:firstLine="480"/>
        <w:rPr>
          <w:color w:val="auto"/>
          <w:highlight w:val="none"/>
        </w:rPr>
      </w:pPr>
      <w:r>
        <w:rPr>
          <w:rFonts w:hint="eastAsia"/>
          <w:color w:val="auto"/>
          <w:highlight w:val="none"/>
          <w:lang w:eastAsia="zh-CN"/>
        </w:rPr>
        <w:t>南大水库灌区</w:t>
      </w:r>
      <w:r>
        <w:rPr>
          <w:rFonts w:hint="eastAsia"/>
          <w:color w:val="auto"/>
          <w:highlight w:val="none"/>
        </w:rPr>
        <w:t>干渠建成于20世纪70年代，</w:t>
      </w:r>
      <w:r>
        <w:rPr>
          <w:rFonts w:hint="eastAsia"/>
          <w:color w:val="auto"/>
          <w:highlight w:val="none"/>
          <w:lang w:eastAsia="zh-CN"/>
        </w:rPr>
        <w:t>至今已运行几十年，本工程改造渠段大部分渠道仍为土渠，未进行系统全面的渠道三面光改造。</w:t>
      </w:r>
      <w:r>
        <w:rPr>
          <w:rFonts w:hint="eastAsia"/>
          <w:color w:val="auto"/>
          <w:highlight w:val="none"/>
        </w:rPr>
        <w:t>渠道经过几十年运行，渠基及渠道内坡基本稳定，横断面尽量利用现有渠道及渠堤断面，本次设计对重新衬砌渠段，基本维持现有渠道断面形式，对渠道过水断面进行防渗衬砌。</w:t>
      </w:r>
    </w:p>
    <w:p>
      <w:pPr>
        <w:ind w:firstLine="480"/>
        <w:rPr>
          <w:color w:val="auto"/>
          <w:highlight w:val="none"/>
        </w:rPr>
      </w:pPr>
      <w:r>
        <w:rPr>
          <w:color w:val="auto"/>
          <w:highlight w:val="none"/>
        </w:rPr>
        <w:t>根据《节水灌溉工程技术规范》（GB/T50363-2006）、《渠道防渗工程技术规范》（SL18-2004），本工程渠道渗漏量大，不能满足规范要求，需要进行防渗衬砌</w:t>
      </w:r>
      <w:r>
        <w:rPr>
          <w:rFonts w:hint="eastAsia"/>
          <w:color w:val="auto"/>
          <w:highlight w:val="none"/>
        </w:rPr>
        <w:t>改造</w:t>
      </w:r>
      <w:r>
        <w:rPr>
          <w:color w:val="auto"/>
          <w:highlight w:val="none"/>
        </w:rPr>
        <w:t>，</w:t>
      </w:r>
      <w:r>
        <w:rPr>
          <w:rFonts w:hint="eastAsia"/>
          <w:color w:val="auto"/>
          <w:highlight w:val="none"/>
        </w:rPr>
        <w:t>提高渠道水利用系数</w:t>
      </w:r>
      <w:r>
        <w:rPr>
          <w:color w:val="auto"/>
          <w:highlight w:val="none"/>
        </w:rPr>
        <w:t>。</w:t>
      </w:r>
    </w:p>
    <w:p>
      <w:pPr>
        <w:ind w:firstLine="480"/>
        <w:rPr>
          <w:rFonts w:hint="eastAsia" w:eastAsia="宋体"/>
          <w:color w:val="auto"/>
          <w:highlight w:val="none"/>
          <w:lang w:eastAsia="zh-CN"/>
        </w:rPr>
      </w:pPr>
      <w:r>
        <w:rPr>
          <w:rFonts w:hint="eastAsia"/>
          <w:color w:val="auto"/>
          <w:highlight w:val="none"/>
          <w:lang w:eastAsia="zh-CN"/>
        </w:rPr>
        <w:t>由于本工程渠段大部分渠道仍是土渠，本设计拟对原渠道进行三面光改造。结合</w:t>
      </w:r>
      <w:r>
        <w:rPr>
          <w:color w:val="auto"/>
          <w:highlight w:val="none"/>
        </w:rPr>
        <w:t>渠道目前的现状，</w:t>
      </w:r>
      <w:r>
        <w:rPr>
          <w:rFonts w:hint="eastAsia"/>
          <w:color w:val="auto"/>
          <w:highlight w:val="none"/>
          <w:lang w:eastAsia="zh-CN"/>
        </w:rPr>
        <w:t>本设计拟采用两种衬砌形式，比较分析如下：</w:t>
      </w:r>
    </w:p>
    <w:p>
      <w:pPr>
        <w:ind w:firstLine="480"/>
        <w:rPr>
          <w:color w:val="auto"/>
          <w:highlight w:val="none"/>
        </w:rPr>
      </w:pPr>
      <w:r>
        <w:rPr>
          <w:rFonts w:hint="eastAsia"/>
          <w:color w:val="auto"/>
          <w:highlight w:val="none"/>
        </w:rPr>
        <w:t>方案一：</w:t>
      </w:r>
      <w:r>
        <w:rPr>
          <w:rFonts w:hint="eastAsia"/>
          <w:color w:val="auto"/>
          <w:highlight w:val="none"/>
          <w:lang w:eastAsia="zh-CN"/>
        </w:rPr>
        <w:t>钢筋混凝土矩形渠道，见图</w:t>
      </w:r>
      <w:r>
        <w:rPr>
          <w:rFonts w:hint="eastAsia"/>
          <w:color w:val="auto"/>
          <w:highlight w:val="none"/>
          <w:lang w:val="en-US" w:eastAsia="zh-CN"/>
        </w:rPr>
        <w:t>5-1</w:t>
      </w:r>
      <w:r>
        <w:rPr>
          <w:rFonts w:hint="eastAsia"/>
          <w:color w:val="auto"/>
          <w:highlight w:val="none"/>
        </w:rPr>
        <w:t>。</w:t>
      </w:r>
      <w:r>
        <w:rPr>
          <w:rFonts w:hint="eastAsia"/>
          <w:color w:val="auto"/>
          <w:highlight w:val="none"/>
          <w:lang w:eastAsia="zh-CN"/>
        </w:rPr>
        <w:t>优点：工程占地少，防渗效果好，防冲抗倾性较好。缺点：投资大（约</w:t>
      </w:r>
      <w:r>
        <w:rPr>
          <w:rFonts w:hint="eastAsia"/>
          <w:color w:val="auto"/>
          <w:highlight w:val="none"/>
          <w:lang w:val="en-US" w:eastAsia="zh-CN"/>
        </w:rPr>
        <w:t>5000元/m</w:t>
      </w:r>
      <w:r>
        <w:rPr>
          <w:rFonts w:hint="eastAsia"/>
          <w:color w:val="auto"/>
          <w:highlight w:val="none"/>
          <w:lang w:eastAsia="zh-CN"/>
        </w:rPr>
        <w:t>），施工较复杂。</w:t>
      </w:r>
    </w:p>
    <w:p>
      <w:pPr>
        <w:ind w:firstLine="480"/>
        <w:rPr>
          <w:color w:val="auto"/>
          <w:highlight w:val="none"/>
        </w:rPr>
      </w:pPr>
      <w:r>
        <w:rPr>
          <w:rFonts w:hint="eastAsia"/>
          <w:color w:val="auto"/>
          <w:highlight w:val="none"/>
        </w:rPr>
        <w:t>方案二：</w:t>
      </w:r>
      <w:r>
        <w:rPr>
          <w:rFonts w:hint="eastAsia"/>
          <w:color w:val="auto"/>
          <w:highlight w:val="none"/>
          <w:lang w:val="en-US" w:eastAsia="zh-CN"/>
        </w:rPr>
        <w:t>M7.5</w:t>
      </w:r>
      <w:r>
        <w:rPr>
          <w:rFonts w:hint="eastAsia"/>
          <w:color w:val="auto"/>
          <w:highlight w:val="none"/>
          <w:lang w:eastAsia="zh-CN"/>
        </w:rPr>
        <w:t>浆砌石梯形渠道，见图</w:t>
      </w:r>
      <w:r>
        <w:rPr>
          <w:rFonts w:hint="eastAsia"/>
          <w:color w:val="auto"/>
          <w:highlight w:val="none"/>
          <w:lang w:val="en-US" w:eastAsia="zh-CN"/>
        </w:rPr>
        <w:t>5-2</w:t>
      </w:r>
      <w:r>
        <w:rPr>
          <w:rFonts w:hint="eastAsia"/>
          <w:color w:val="auto"/>
          <w:highlight w:val="none"/>
        </w:rPr>
        <w:t>。</w:t>
      </w:r>
      <w:r>
        <w:rPr>
          <w:rFonts w:hint="eastAsia"/>
          <w:color w:val="auto"/>
          <w:highlight w:val="none"/>
          <w:lang w:eastAsia="zh-CN"/>
        </w:rPr>
        <w:t>优点：投资较小（约</w:t>
      </w:r>
      <w:r>
        <w:rPr>
          <w:rFonts w:hint="eastAsia"/>
          <w:color w:val="auto"/>
          <w:highlight w:val="none"/>
          <w:lang w:val="en-US" w:eastAsia="zh-CN"/>
        </w:rPr>
        <w:t>4000元/m</w:t>
      </w:r>
      <w:r>
        <w:rPr>
          <w:rFonts w:hint="eastAsia"/>
          <w:color w:val="auto"/>
          <w:highlight w:val="none"/>
          <w:lang w:eastAsia="zh-CN"/>
        </w:rPr>
        <w:t>），施工较简单。缺点：工程占地较多，防冲抗倾较差。</w:t>
      </w:r>
    </w:p>
    <w:p>
      <w:pPr>
        <w:pStyle w:val="272"/>
        <w:rPr>
          <w:color w:val="auto"/>
          <w:highlight w:val="none"/>
        </w:rPr>
      </w:pPr>
      <w:r>
        <w:rPr>
          <w:color w:val="auto"/>
          <w:highlight w:val="none"/>
        </w:rPr>
        <w:drawing>
          <wp:inline distT="0" distB="0" distL="114300" distR="114300">
            <wp:extent cx="5400040" cy="4067175"/>
            <wp:effectExtent l="0" t="0" r="10160" b="9525"/>
            <wp:docPr id="95" name="图片 95" descr="166081137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1660811372680"/>
                    <pic:cNvPicPr>
                      <a:picLocks noChangeAspect="1"/>
                    </pic:cNvPicPr>
                  </pic:nvPicPr>
                  <pic:blipFill>
                    <a:blip r:embed="rId70"/>
                    <a:stretch>
                      <a:fillRect/>
                    </a:stretch>
                  </pic:blipFill>
                  <pic:spPr>
                    <a:xfrm>
                      <a:off x="0" y="0"/>
                      <a:ext cx="5400040" cy="4067175"/>
                    </a:xfrm>
                    <a:prstGeom prst="rect">
                      <a:avLst/>
                    </a:prstGeom>
                  </pic:spPr>
                </pic:pic>
              </a:graphicData>
            </a:graphic>
          </wp:inline>
        </w:drawing>
      </w:r>
      <w:r>
        <w:rPr>
          <w:rFonts w:hint="eastAsia"/>
          <w:color w:val="auto"/>
          <w:highlight w:val="none"/>
        </w:rPr>
        <w:t xml:space="preserve"> </w:t>
      </w:r>
    </w:p>
    <w:p>
      <w:pPr>
        <w:pStyle w:val="333"/>
        <w:rPr>
          <w:color w:val="auto"/>
          <w:highlight w:val="none"/>
        </w:rPr>
      </w:pPr>
      <w:r>
        <w:rPr>
          <w:rFonts w:hint="eastAsia"/>
          <w:color w:val="auto"/>
          <w:highlight w:val="none"/>
        </w:rPr>
        <w:t>图5-1  方案一断面图</w:t>
      </w:r>
    </w:p>
    <w:p>
      <w:pPr>
        <w:ind w:firstLine="0" w:firstLineChars="0"/>
        <w:jc w:val="center"/>
        <w:rPr>
          <w:rFonts w:hint="eastAsia" w:eastAsia="宋体"/>
          <w:color w:val="auto"/>
          <w:highlight w:val="none"/>
          <w:lang w:eastAsia="zh-CN"/>
        </w:rPr>
      </w:pPr>
      <w:r>
        <w:rPr>
          <w:rFonts w:hint="eastAsia" w:eastAsia="宋体"/>
          <w:color w:val="auto"/>
          <w:highlight w:val="none"/>
          <w:lang w:eastAsia="zh-CN"/>
        </w:rPr>
        <w:drawing>
          <wp:inline distT="0" distB="0" distL="114300" distR="114300">
            <wp:extent cx="5400040" cy="3867785"/>
            <wp:effectExtent l="0" t="0" r="10160" b="18415"/>
            <wp:docPr id="29" name="图片 29" descr="1660811305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660811305350"/>
                    <pic:cNvPicPr>
                      <a:picLocks noChangeAspect="1"/>
                    </pic:cNvPicPr>
                  </pic:nvPicPr>
                  <pic:blipFill>
                    <a:blip r:embed="rId71"/>
                    <a:stretch>
                      <a:fillRect/>
                    </a:stretch>
                  </pic:blipFill>
                  <pic:spPr>
                    <a:xfrm>
                      <a:off x="0" y="0"/>
                      <a:ext cx="5400040" cy="3867785"/>
                    </a:xfrm>
                    <a:prstGeom prst="rect">
                      <a:avLst/>
                    </a:prstGeom>
                  </pic:spPr>
                </pic:pic>
              </a:graphicData>
            </a:graphic>
          </wp:inline>
        </w:drawing>
      </w:r>
    </w:p>
    <w:p>
      <w:pPr>
        <w:pStyle w:val="333"/>
        <w:rPr>
          <w:color w:val="auto"/>
          <w:highlight w:val="none"/>
        </w:rPr>
      </w:pPr>
      <w:r>
        <w:rPr>
          <w:rFonts w:hint="eastAsia"/>
          <w:color w:val="auto"/>
          <w:highlight w:val="none"/>
        </w:rPr>
        <w:t>图5-2  方案二断面图</w:t>
      </w:r>
    </w:p>
    <w:p>
      <w:pPr>
        <w:ind w:firstLine="480"/>
        <w:rPr>
          <w:rFonts w:hint="eastAsia"/>
          <w:color w:val="auto"/>
          <w:highlight w:val="none"/>
        </w:rPr>
      </w:pPr>
    </w:p>
    <w:p>
      <w:pPr>
        <w:ind w:firstLine="480"/>
        <w:rPr>
          <w:rFonts w:hint="eastAsia"/>
          <w:color w:val="auto"/>
          <w:highlight w:val="none"/>
        </w:rPr>
      </w:pPr>
      <w:r>
        <w:rPr>
          <w:rFonts w:hint="eastAsia"/>
          <w:color w:val="auto"/>
          <w:highlight w:val="none"/>
        </w:rPr>
        <w:t>两</w:t>
      </w:r>
      <w:r>
        <w:rPr>
          <w:color w:val="auto"/>
          <w:highlight w:val="none"/>
        </w:rPr>
        <w:t>种衬砌方案各具优缺点</w:t>
      </w:r>
      <w:r>
        <w:rPr>
          <w:rFonts w:hint="eastAsia"/>
          <w:color w:val="auto"/>
          <w:highlight w:val="none"/>
        </w:rPr>
        <w:t>，</w:t>
      </w:r>
      <w:r>
        <w:rPr>
          <w:rFonts w:hint="eastAsia"/>
          <w:color w:val="auto"/>
          <w:highlight w:val="none"/>
          <w:lang w:eastAsia="zh-CN"/>
        </w:rPr>
        <w:t>结合本工程实际，</w:t>
      </w:r>
      <w:r>
        <w:rPr>
          <w:rFonts w:hint="eastAsia"/>
          <w:color w:val="auto"/>
          <w:highlight w:val="none"/>
          <w:lang w:val="en-US" w:eastAsia="zh-CN"/>
        </w:rPr>
        <w:t>本工程0+000~1+207渠段设计采用方案二，为浆砌石梯形渠道，渠底宽为2.6m，高为1.8m，边坡为1:0.4，长为1207m。</w:t>
      </w:r>
    </w:p>
    <w:p>
      <w:pPr>
        <w:ind w:firstLine="480"/>
        <w:rPr>
          <w:color w:val="auto"/>
          <w:highlight w:val="none"/>
        </w:rPr>
      </w:pPr>
      <w:r>
        <w:rPr>
          <w:rFonts w:hint="eastAsia"/>
          <w:color w:val="auto"/>
          <w:highlight w:val="none"/>
        </w:rPr>
        <w:t>（</w:t>
      </w:r>
      <w:r>
        <w:rPr>
          <w:rFonts w:hint="eastAsia"/>
          <w:color w:val="auto"/>
          <w:highlight w:val="none"/>
          <w:lang w:val="en-US" w:eastAsia="zh-CN"/>
        </w:rPr>
        <w:t>3</w:t>
      </w:r>
      <w:r>
        <w:rPr>
          <w:rFonts w:hint="eastAsia"/>
          <w:color w:val="auto"/>
          <w:highlight w:val="none"/>
        </w:rPr>
        <w:t>）横断面尺寸</w:t>
      </w:r>
    </w:p>
    <w:p>
      <w:pPr>
        <w:ind w:firstLine="480"/>
        <w:rPr>
          <w:color w:val="auto"/>
          <w:highlight w:val="none"/>
        </w:rPr>
      </w:pPr>
      <w:r>
        <w:rPr>
          <w:rFonts w:hint="eastAsia"/>
          <w:color w:val="auto"/>
          <w:highlight w:val="none"/>
        </w:rPr>
        <w:t>根据渠道各段纵坡及设计流量，渠道水面线计算按加大流量复核过水断面面积。当复核所需的断面面积比现状渠道断面面积大时，应适当加大渠道断面，反之则应基本维持现状大小，以满足排洪排涝的实际需求。</w:t>
      </w:r>
    </w:p>
    <w:p>
      <w:pPr>
        <w:ind w:firstLine="480"/>
        <w:rPr>
          <w:color w:val="auto"/>
          <w:highlight w:val="none"/>
        </w:rPr>
      </w:pPr>
      <w:r>
        <w:rPr>
          <w:rFonts w:hint="eastAsia"/>
          <w:color w:val="auto"/>
          <w:highlight w:val="none"/>
        </w:rPr>
        <w:t>（</w:t>
      </w:r>
      <w:r>
        <w:rPr>
          <w:rFonts w:hint="eastAsia"/>
          <w:color w:val="auto"/>
          <w:highlight w:val="none"/>
          <w:lang w:val="en-US" w:eastAsia="zh-CN"/>
        </w:rPr>
        <w:t>4</w:t>
      </w:r>
      <w:r>
        <w:rPr>
          <w:rFonts w:hint="eastAsia"/>
          <w:color w:val="auto"/>
          <w:highlight w:val="none"/>
        </w:rPr>
        <w:t>）渠顶高程</w:t>
      </w:r>
    </w:p>
    <w:p>
      <w:pPr>
        <w:ind w:firstLine="480"/>
        <w:rPr>
          <w:color w:val="auto"/>
          <w:highlight w:val="none"/>
        </w:rPr>
      </w:pPr>
      <w:r>
        <w:rPr>
          <w:rFonts w:hint="eastAsia"/>
          <w:color w:val="auto"/>
          <w:highlight w:val="none"/>
        </w:rPr>
        <w:t>根据《灌溉与排水工程设计标准》（GB50288-2018）中的规定，本次工程改造渠道为5级渠道，</w:t>
      </w:r>
      <w:r>
        <w:rPr>
          <w:color w:val="auto"/>
          <w:highlight w:val="none"/>
        </w:rPr>
        <w:t>灌溉渠道堤顶超高：参考《灌溉与排水工程设计规范》（GB50288-</w:t>
      </w:r>
      <w:r>
        <w:rPr>
          <w:rFonts w:hint="eastAsia"/>
          <w:color w:val="auto"/>
          <w:highlight w:val="none"/>
        </w:rPr>
        <w:t>2018</w:t>
      </w:r>
      <w:r>
        <w:rPr>
          <w:color w:val="auto"/>
          <w:highlight w:val="none"/>
        </w:rPr>
        <w:t>），超高F</w:t>
      </w:r>
      <w:r>
        <w:rPr>
          <w:color w:val="auto"/>
          <w:highlight w:val="none"/>
          <w:vertAlign w:val="subscript"/>
        </w:rPr>
        <w:t>b</w:t>
      </w:r>
      <w:r>
        <w:rPr>
          <w:color w:val="auto"/>
          <w:highlight w:val="none"/>
        </w:rPr>
        <w:t>=1/4h</w:t>
      </w:r>
      <w:r>
        <w:rPr>
          <w:color w:val="auto"/>
          <w:highlight w:val="none"/>
          <w:vertAlign w:val="subscript"/>
        </w:rPr>
        <w:t>b</w:t>
      </w:r>
      <w:r>
        <w:rPr>
          <w:color w:val="auto"/>
          <w:highlight w:val="none"/>
        </w:rPr>
        <w:t>+0.2，其中h</w:t>
      </w:r>
      <w:r>
        <w:rPr>
          <w:color w:val="auto"/>
          <w:highlight w:val="none"/>
          <w:vertAlign w:val="subscript"/>
        </w:rPr>
        <w:t>b</w:t>
      </w:r>
      <w:r>
        <w:rPr>
          <w:color w:val="auto"/>
          <w:highlight w:val="none"/>
        </w:rPr>
        <w:t>为渠道通过加大流量时对应的水深，经计算，</w:t>
      </w:r>
      <w:r>
        <w:rPr>
          <w:rFonts w:hint="eastAsia"/>
          <w:color w:val="auto"/>
          <w:highlight w:val="none"/>
        </w:rPr>
        <w:t>干渠</w:t>
      </w:r>
      <w:r>
        <w:rPr>
          <w:color w:val="auto"/>
          <w:highlight w:val="none"/>
        </w:rPr>
        <w:t>超高为</w:t>
      </w:r>
      <w:r>
        <w:rPr>
          <w:rFonts w:hint="eastAsia"/>
          <w:color w:val="auto"/>
          <w:highlight w:val="none"/>
        </w:rPr>
        <w:t>0.</w:t>
      </w:r>
      <w:r>
        <w:rPr>
          <w:rFonts w:hint="eastAsia"/>
          <w:color w:val="auto"/>
          <w:highlight w:val="none"/>
          <w:lang w:val="en-US" w:eastAsia="zh-CN"/>
        </w:rPr>
        <w:t>5</w:t>
      </w:r>
      <w:r>
        <w:rPr>
          <w:rFonts w:hint="eastAsia"/>
          <w:color w:val="auto"/>
          <w:highlight w:val="none"/>
        </w:rPr>
        <w:t>~0.</w:t>
      </w:r>
      <w:r>
        <w:rPr>
          <w:rFonts w:hint="eastAsia"/>
          <w:color w:val="auto"/>
          <w:highlight w:val="none"/>
          <w:lang w:val="en-US" w:eastAsia="zh-CN"/>
        </w:rPr>
        <w:t>52</w:t>
      </w:r>
      <w:r>
        <w:rPr>
          <w:rFonts w:hint="eastAsia"/>
          <w:color w:val="auto"/>
          <w:highlight w:val="none"/>
        </w:rPr>
        <w:t>m。</w:t>
      </w:r>
      <w:r>
        <w:rPr>
          <w:rFonts w:hint="eastAsia"/>
          <w:color w:val="auto"/>
          <w:highlight w:val="none"/>
          <w:lang w:eastAsia="zh-CN"/>
        </w:rPr>
        <w:t>结合实际，本工程渠顶高程为设计水面线加干渠超高，</w:t>
      </w:r>
      <w:r>
        <w:rPr>
          <w:rFonts w:hint="eastAsia"/>
          <w:color w:val="auto"/>
          <w:highlight w:val="none"/>
        </w:rPr>
        <w:t>对现状渠顶超高不满足规范要求的，则将渠顶进行加高，现状渠顶超高高于规范要求的，则维持现状渠顶高度不变。</w:t>
      </w:r>
    </w:p>
    <w:bookmarkEnd w:id="313"/>
    <w:bookmarkEnd w:id="314"/>
    <w:p>
      <w:pPr>
        <w:pStyle w:val="335"/>
        <w:spacing w:before="156" w:after="156"/>
        <w:rPr>
          <w:color w:val="auto"/>
          <w:highlight w:val="none"/>
        </w:rPr>
      </w:pPr>
      <w:bookmarkStart w:id="315" w:name="_Toc536295120"/>
      <w:r>
        <w:rPr>
          <w:rFonts w:hint="eastAsia"/>
          <w:color w:val="auto"/>
          <w:highlight w:val="none"/>
        </w:rPr>
        <w:t>5.3.</w:t>
      </w:r>
      <w:r>
        <w:rPr>
          <w:rFonts w:hint="eastAsia"/>
          <w:color w:val="auto"/>
          <w:highlight w:val="none"/>
          <w:lang w:val="en-US" w:eastAsia="zh-CN"/>
        </w:rPr>
        <w:t>3</w:t>
      </w:r>
      <w:r>
        <w:rPr>
          <w:rFonts w:hint="eastAsia"/>
          <w:color w:val="auto"/>
          <w:highlight w:val="none"/>
        </w:rPr>
        <w:t xml:space="preserve"> </w:t>
      </w:r>
      <w:bookmarkEnd w:id="315"/>
      <w:r>
        <w:rPr>
          <w:rFonts w:hint="eastAsia"/>
          <w:color w:val="auto"/>
          <w:highlight w:val="none"/>
          <w:lang w:eastAsia="zh-CN"/>
        </w:rPr>
        <w:t>泄洪闸</w:t>
      </w:r>
    </w:p>
    <w:p>
      <w:pPr>
        <w:ind w:firstLine="480"/>
        <w:rPr>
          <w:rFonts w:hint="eastAsia"/>
          <w:color w:val="auto"/>
          <w:highlight w:val="none"/>
          <w:lang w:bidi="en-US"/>
        </w:rPr>
      </w:pPr>
      <w:r>
        <w:rPr>
          <w:rFonts w:hint="eastAsia"/>
          <w:color w:val="auto"/>
          <w:highlight w:val="none"/>
          <w:lang w:bidi="en-US"/>
        </w:rPr>
        <w:t>根据现场踏勘的情况，</w:t>
      </w:r>
      <w:r>
        <w:rPr>
          <w:rFonts w:hint="eastAsia"/>
          <w:color w:val="auto"/>
          <w:highlight w:val="none"/>
          <w:lang w:eastAsia="zh-CN" w:bidi="en-US"/>
        </w:rPr>
        <w:t>本工程</w:t>
      </w:r>
      <w:r>
        <w:rPr>
          <w:rFonts w:hint="eastAsia"/>
          <w:color w:val="auto"/>
          <w:highlight w:val="none"/>
          <w:lang w:val="en-US" w:eastAsia="zh-CN" w:bidi="en-US"/>
        </w:rPr>
        <w:t>2座</w:t>
      </w:r>
      <w:r>
        <w:rPr>
          <w:rFonts w:hint="eastAsia"/>
          <w:color w:val="auto"/>
          <w:highlight w:val="none"/>
          <w:lang w:eastAsia="zh-CN" w:bidi="en-US"/>
        </w:rPr>
        <w:t>泄洪闸位于桩号</w:t>
      </w:r>
      <w:r>
        <w:rPr>
          <w:rFonts w:hint="eastAsia"/>
          <w:color w:val="auto"/>
          <w:highlight w:val="none"/>
          <w:lang w:val="en-US" w:eastAsia="zh-CN" w:bidi="en-US"/>
        </w:rPr>
        <w:t>0+005、0+100，均破损严重，且桩号0+100处泄洪闸至工程终点长900m已无泄洪闸，该900m渠段泄洪压力过大。</w:t>
      </w:r>
      <w:r>
        <w:rPr>
          <w:rFonts w:hint="eastAsia"/>
          <w:color w:val="auto"/>
          <w:highlight w:val="none"/>
          <w:lang w:eastAsia="zh-CN" w:bidi="en-US"/>
        </w:rPr>
        <w:t>经与运行管理单位及村委了解，整治段灌渠在汛期期间存在洪水漫顶情况。结合工程实际，确定本次工程拟拆除重建泄洪闸</w:t>
      </w:r>
      <w:r>
        <w:rPr>
          <w:rFonts w:hint="eastAsia"/>
          <w:color w:val="auto"/>
          <w:highlight w:val="none"/>
          <w:lang w:val="en-US" w:eastAsia="zh-CN" w:bidi="en-US"/>
        </w:rPr>
        <w:t>2座，新建泄洪闸1座</w:t>
      </w:r>
      <w:r>
        <w:rPr>
          <w:rFonts w:hint="eastAsia"/>
          <w:color w:val="auto"/>
          <w:highlight w:val="none"/>
          <w:lang w:val="en-US" w:eastAsia="zh-CN" w:bidi="en-US"/>
        </w:rPr>
        <w:t>。</w:t>
      </w:r>
    </w:p>
    <w:p>
      <w:pPr>
        <w:ind w:firstLine="480"/>
        <w:rPr>
          <w:color w:val="auto"/>
          <w:highlight w:val="none"/>
        </w:rPr>
      </w:pPr>
      <w:r>
        <w:rPr>
          <w:rFonts w:hint="eastAsia"/>
          <w:color w:val="auto"/>
          <w:highlight w:val="none"/>
        </w:rPr>
        <w:t>（1） 水闸结构设计比选方案</w:t>
      </w:r>
    </w:p>
    <w:p>
      <w:pPr>
        <w:ind w:firstLine="480"/>
        <w:rPr>
          <w:color w:val="auto"/>
          <w:highlight w:val="none"/>
        </w:rPr>
      </w:pPr>
      <w:r>
        <w:rPr>
          <w:rFonts w:hint="eastAsia"/>
          <w:color w:val="auto"/>
          <w:highlight w:val="none"/>
        </w:rPr>
        <w:t>本次水闸结构设计方案比选主要针对</w:t>
      </w:r>
      <w:r>
        <w:rPr>
          <w:rFonts w:hint="eastAsia"/>
          <w:color w:val="auto"/>
          <w:highlight w:val="none"/>
          <w:lang w:eastAsia="zh-CN"/>
        </w:rPr>
        <w:t>泄洪闸</w:t>
      </w:r>
      <w:r>
        <w:rPr>
          <w:rFonts w:hint="eastAsia"/>
          <w:color w:val="auto"/>
          <w:highlight w:val="none"/>
        </w:rPr>
        <w:t>。</w:t>
      </w:r>
      <w:r>
        <w:rPr>
          <w:rFonts w:hint="eastAsia"/>
          <w:color w:val="auto"/>
          <w:highlight w:val="none"/>
          <w:lang w:eastAsia="zh-CN"/>
        </w:rPr>
        <w:t>泄洪闸</w:t>
      </w:r>
      <w:r>
        <w:rPr>
          <w:rFonts w:hint="eastAsia"/>
          <w:color w:val="auto"/>
          <w:highlight w:val="none"/>
        </w:rPr>
        <w:t>根据堰流形式不同，分别考虑无坎宽顶堰形式及曲线型实用堰形式。</w:t>
      </w:r>
    </w:p>
    <w:p>
      <w:pPr>
        <w:ind w:firstLine="480"/>
        <w:rPr>
          <w:color w:val="auto"/>
          <w:highlight w:val="none"/>
        </w:rPr>
      </w:pPr>
      <w:r>
        <w:rPr>
          <w:rFonts w:hint="eastAsia"/>
          <w:color w:val="auto"/>
          <w:highlight w:val="none"/>
        </w:rPr>
        <w:t>方案一：闸室过流采用无坎宽顶堰形式（见图5-3），闸室底板高程与上级渠底齐平，闸身采用钢筋混凝土涵洞形式，闸门采用平板闸门，布置在闸室进口。在雨季排洪时，开启闸门泄水；平时农田引水灌溉则关闭闸门。</w:t>
      </w:r>
    </w:p>
    <w:p>
      <w:pPr>
        <w:ind w:firstLine="480"/>
        <w:rPr>
          <w:color w:val="auto"/>
          <w:highlight w:val="none"/>
        </w:rPr>
      </w:pPr>
      <w:r>
        <w:rPr>
          <w:rFonts w:hint="eastAsia"/>
          <w:color w:val="auto"/>
          <w:highlight w:val="none"/>
        </w:rPr>
        <mc:AlternateContent>
          <mc:Choice Requires="wps">
            <w:drawing>
              <wp:anchor distT="0" distB="0" distL="114300" distR="114300" simplePos="0" relativeHeight="251661312" behindDoc="0" locked="0" layoutInCell="1" allowOverlap="1">
                <wp:simplePos x="0" y="0"/>
                <wp:positionH relativeFrom="column">
                  <wp:posOffset>3093720</wp:posOffset>
                </wp:positionH>
                <wp:positionV relativeFrom="paragraph">
                  <wp:posOffset>1320800</wp:posOffset>
                </wp:positionV>
                <wp:extent cx="118745" cy="0"/>
                <wp:effectExtent l="0" t="0" r="14605" b="19050"/>
                <wp:wrapNone/>
                <wp:docPr id="267" name="直接连接符 267"/>
                <wp:cNvGraphicFramePr/>
                <a:graphic xmlns:a="http://schemas.openxmlformats.org/drawingml/2006/main">
                  <a:graphicData uri="http://schemas.microsoft.com/office/word/2010/wordprocessingShape">
                    <wps:wsp>
                      <wps:cNvCnPr/>
                      <wps:spPr>
                        <a:xfrm>
                          <a:off x="0" y="0"/>
                          <a:ext cx="118745"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_x0000_s1026" o:spid="_x0000_s1026" o:spt="20" style="position:absolute;left:0pt;margin-left:243.6pt;margin-top:104pt;height:0pt;width:9.35pt;z-index:251661312;mso-width-relative:page;mso-height-relative:page;" filled="f" stroked="t" coordsize="21600,21600" o:gfxdata="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Bj9OSr2QAAAAsBAAAPAAAAAAAAAAEAIAAAACIAAABkcnMv&#10;ZG93bnJldi54bWxQSwECFAAUAAAACACHTuJAQ7rLR8kBAABnAwAADgAAAAAAAAABACAAAAAoAQAA&#10;ZHJzL2Uyb0RvYy54bWxQSwUGAAAAAAYABgBZAQAAYwUAAAAA&#10;">
                <v:fill on="f" focussize="0,0"/>
                <v:stroke weight="1.5pt" color="#000000 [3200]" miterlimit="8" joinstyle="miter"/>
                <v:imagedata o:title=""/>
                <o:lock v:ext="edit" aspectratio="f"/>
              </v:line>
            </w:pict>
          </mc:Fallback>
        </mc:AlternateContent>
      </w:r>
      <w:r>
        <w:rPr>
          <w:rFonts w:hint="eastAsia"/>
          <w:color w:val="auto"/>
          <w:highlight w:val="none"/>
        </w:rPr>
        <w:drawing>
          <wp:inline distT="0" distB="0" distL="0" distR="0">
            <wp:extent cx="4724400" cy="2028825"/>
            <wp:effectExtent l="0" t="0" r="0" b="952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noChangeArrowheads="1"/>
                    </pic:cNvPicPr>
                  </pic:nvPicPr>
                  <pic:blipFill>
                    <a:blip r:embed="rId72"/>
                    <a:srcRect/>
                    <a:stretch>
                      <a:fillRect/>
                    </a:stretch>
                  </pic:blipFill>
                  <pic:spPr>
                    <a:xfrm>
                      <a:off x="0" y="0"/>
                      <a:ext cx="4724400" cy="2028825"/>
                    </a:xfrm>
                    <a:prstGeom prst="rect">
                      <a:avLst/>
                    </a:prstGeom>
                    <a:noFill/>
                    <a:ln w="9525">
                      <a:noFill/>
                      <a:miter lim="800000"/>
                      <a:headEnd/>
                      <a:tailEnd/>
                    </a:ln>
                  </pic:spPr>
                </pic:pic>
              </a:graphicData>
            </a:graphic>
          </wp:inline>
        </w:drawing>
      </w:r>
    </w:p>
    <w:p>
      <w:pPr>
        <w:pStyle w:val="333"/>
        <w:rPr>
          <w:color w:val="auto"/>
          <w:highlight w:val="none"/>
        </w:rPr>
      </w:pPr>
      <w:r>
        <w:rPr>
          <w:rFonts w:hint="eastAsia"/>
          <w:color w:val="auto"/>
          <w:highlight w:val="none"/>
        </w:rPr>
        <w:t xml:space="preserve">图5-3  </w:t>
      </w:r>
      <w:r>
        <w:rPr>
          <w:rFonts w:hint="eastAsia"/>
          <w:color w:val="auto"/>
          <w:highlight w:val="none"/>
          <w:lang w:eastAsia="zh-CN"/>
        </w:rPr>
        <w:t>泄洪闸</w:t>
      </w:r>
      <w:r>
        <w:rPr>
          <w:rFonts w:hint="eastAsia"/>
          <w:color w:val="auto"/>
          <w:highlight w:val="none"/>
        </w:rPr>
        <w:t>方案一断面图</w:t>
      </w:r>
    </w:p>
    <w:p>
      <w:pPr>
        <w:ind w:firstLine="480"/>
        <w:rPr>
          <w:color w:val="auto"/>
          <w:highlight w:val="none"/>
        </w:rPr>
      </w:pPr>
      <w:r>
        <w:rPr>
          <w:rFonts w:hint="eastAsia"/>
          <w:color w:val="auto"/>
          <w:highlight w:val="none"/>
        </w:rPr>
        <w:t>方案二：闸室过流采用曲线型实用堰形式（见图5-4），堰顶高程与上级渠道灌溉设计水位齐平，闸身采用混凝土浇筑。在雨季排洪时，当洪水位高出堰顶高程，则自由泄流，不需安排管理员进行操作；平时农田引水灌溉，水位保持在堰顶高程以下，不会发生水流下泄情况。</w:t>
      </w:r>
    </w:p>
    <w:p>
      <w:pPr>
        <w:ind w:firstLine="480"/>
        <w:rPr>
          <w:color w:val="auto"/>
          <w:highlight w:val="none"/>
        </w:rPr>
      </w:pPr>
      <w:r>
        <w:rPr>
          <w:rFonts w:hint="eastAsia"/>
          <w:color w:val="auto"/>
          <w:highlight w:val="none"/>
        </w:rPr>
        <mc:AlternateContent>
          <mc:Choice Requires="wps">
            <w:drawing>
              <wp:anchor distT="0" distB="0" distL="114300" distR="114300" simplePos="0" relativeHeight="251662336" behindDoc="0" locked="0" layoutInCell="1" allowOverlap="1">
                <wp:simplePos x="0" y="0"/>
                <wp:positionH relativeFrom="column">
                  <wp:posOffset>3089910</wp:posOffset>
                </wp:positionH>
                <wp:positionV relativeFrom="paragraph">
                  <wp:posOffset>1134745</wp:posOffset>
                </wp:positionV>
                <wp:extent cx="115570" cy="0"/>
                <wp:effectExtent l="0" t="0" r="18415" b="19050"/>
                <wp:wrapNone/>
                <wp:docPr id="268" name="直接连接符 268"/>
                <wp:cNvGraphicFramePr/>
                <a:graphic xmlns:a="http://schemas.openxmlformats.org/drawingml/2006/main">
                  <a:graphicData uri="http://schemas.microsoft.com/office/word/2010/wordprocessingShape">
                    <wps:wsp>
                      <wps:cNvCnPr/>
                      <wps:spPr>
                        <a:xfrm>
                          <a:off x="0" y="0"/>
                          <a:ext cx="115294"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_x0000_s1026" o:spid="_x0000_s1026" o:spt="20" style="position:absolute;left:0pt;margin-left:243.3pt;margin-top:89.35pt;height:0pt;width:9.1pt;z-index:251662336;mso-width-relative:page;mso-height-relative:page;" filled="f" stroked="t" coordsize="21600,21600" o:gfxdata="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Ao/pmy2QAAAAsBAAAPAAAAAAAAAAEAIAAAACIAAABkcnMv&#10;ZG93bnJldi54bWxQSwECFAAUAAAACACHTuJASAw2W8kBAABnAwAADgAAAAAAAAABACAAAAAoAQAA&#10;ZHJzL2Uyb0RvYy54bWxQSwUGAAAAAAYABgBZAQAAYwUAAAAA&#10;">
                <v:fill on="f" focussize="0,0"/>
                <v:stroke weight="1.5pt" color="#000000 [3200]" miterlimit="8" joinstyle="miter"/>
                <v:imagedata o:title=""/>
                <o:lock v:ext="edit" aspectratio="f"/>
              </v:line>
            </w:pict>
          </mc:Fallback>
        </mc:AlternateContent>
      </w:r>
      <w:r>
        <w:rPr>
          <w:rFonts w:hint="eastAsia"/>
          <w:color w:val="auto"/>
          <w:highlight w:val="none"/>
        </w:rPr>
        <w:drawing>
          <wp:inline distT="0" distB="0" distL="0" distR="0">
            <wp:extent cx="4724400" cy="1800225"/>
            <wp:effectExtent l="0" t="0" r="0" b="952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noChangeArrowheads="1"/>
                    </pic:cNvPicPr>
                  </pic:nvPicPr>
                  <pic:blipFill>
                    <a:blip r:embed="rId73"/>
                    <a:srcRect/>
                    <a:stretch>
                      <a:fillRect/>
                    </a:stretch>
                  </pic:blipFill>
                  <pic:spPr>
                    <a:xfrm>
                      <a:off x="0" y="0"/>
                      <a:ext cx="4724400" cy="1800225"/>
                    </a:xfrm>
                    <a:prstGeom prst="rect">
                      <a:avLst/>
                    </a:prstGeom>
                    <a:noFill/>
                    <a:ln w="9525">
                      <a:noFill/>
                      <a:miter lim="800000"/>
                      <a:headEnd/>
                      <a:tailEnd/>
                    </a:ln>
                  </pic:spPr>
                </pic:pic>
              </a:graphicData>
            </a:graphic>
          </wp:inline>
        </w:drawing>
      </w:r>
    </w:p>
    <w:p>
      <w:pPr>
        <w:pStyle w:val="333"/>
        <w:rPr>
          <w:rFonts w:hint="eastAsia"/>
          <w:color w:val="auto"/>
          <w:highlight w:val="none"/>
        </w:rPr>
      </w:pPr>
      <w:r>
        <w:rPr>
          <w:rFonts w:hint="eastAsia"/>
          <w:color w:val="auto"/>
          <w:highlight w:val="none"/>
        </w:rPr>
        <w:t xml:space="preserve">图5-4  </w:t>
      </w:r>
      <w:r>
        <w:rPr>
          <w:rFonts w:hint="eastAsia"/>
          <w:color w:val="auto"/>
          <w:highlight w:val="none"/>
          <w:lang w:eastAsia="zh-CN"/>
        </w:rPr>
        <w:t>泄洪闸</w:t>
      </w:r>
      <w:r>
        <w:rPr>
          <w:rFonts w:hint="eastAsia"/>
          <w:color w:val="auto"/>
          <w:highlight w:val="none"/>
        </w:rPr>
        <w:t>方案二断面图</w:t>
      </w:r>
    </w:p>
    <w:p>
      <w:pPr>
        <w:pStyle w:val="333"/>
        <w:rPr>
          <w:rFonts w:hint="eastAsia"/>
          <w:color w:val="auto"/>
          <w:highlight w:val="none"/>
        </w:rPr>
      </w:pPr>
    </w:p>
    <w:p>
      <w:pPr>
        <w:pStyle w:val="333"/>
        <w:rPr>
          <w:color w:val="auto"/>
          <w:highlight w:val="none"/>
        </w:rPr>
      </w:pPr>
      <w:r>
        <w:rPr>
          <w:rFonts w:hint="eastAsia"/>
          <w:color w:val="auto"/>
          <w:highlight w:val="none"/>
        </w:rPr>
        <w:t>表5-</w:t>
      </w:r>
      <w:r>
        <w:rPr>
          <w:rFonts w:hint="eastAsia"/>
          <w:color w:val="auto"/>
          <w:highlight w:val="none"/>
          <w:lang w:val="en-US" w:eastAsia="zh-CN"/>
        </w:rPr>
        <w:t xml:space="preserve">1 </w:t>
      </w:r>
      <w:r>
        <w:rPr>
          <w:rFonts w:hint="eastAsia"/>
          <w:color w:val="auto"/>
          <w:highlight w:val="none"/>
        </w:rPr>
        <w:t>水闸方案经济技术比选</w:t>
      </w:r>
    </w:p>
    <w:tbl>
      <w:tblPr>
        <w:tblStyle w:val="47"/>
        <w:tblW w:w="877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6"/>
        <w:gridCol w:w="1713"/>
        <w:gridCol w:w="2817"/>
        <w:gridCol w:w="35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blHeader/>
        </w:trPr>
        <w:tc>
          <w:tcPr>
            <w:tcW w:w="686" w:type="dxa"/>
            <w:vMerge w:val="restart"/>
            <w:shd w:val="clear" w:color="auto" w:fill="auto"/>
            <w:vAlign w:val="center"/>
          </w:tcPr>
          <w:p>
            <w:pPr>
              <w:pStyle w:val="185"/>
              <w:jc w:val="center"/>
              <w:rPr>
                <w:color w:val="auto"/>
                <w:highlight w:val="none"/>
              </w:rPr>
            </w:pPr>
            <w:r>
              <w:rPr>
                <w:rFonts w:hint="eastAsia"/>
                <w:color w:val="auto"/>
                <w:highlight w:val="none"/>
              </w:rPr>
              <w:t>序号</w:t>
            </w:r>
          </w:p>
        </w:tc>
        <w:tc>
          <w:tcPr>
            <w:tcW w:w="1713" w:type="dxa"/>
            <w:vMerge w:val="restart"/>
            <w:shd w:val="clear" w:color="auto" w:fill="auto"/>
            <w:vAlign w:val="center"/>
          </w:tcPr>
          <w:p>
            <w:pPr>
              <w:pStyle w:val="185"/>
              <w:jc w:val="center"/>
              <w:rPr>
                <w:color w:val="auto"/>
                <w:highlight w:val="none"/>
              </w:rPr>
            </w:pPr>
            <w:r>
              <w:rPr>
                <w:rFonts w:hint="eastAsia"/>
                <w:color w:val="auto"/>
                <w:highlight w:val="none"/>
              </w:rPr>
              <w:t>项目</w:t>
            </w:r>
          </w:p>
        </w:tc>
        <w:tc>
          <w:tcPr>
            <w:tcW w:w="2817" w:type="dxa"/>
            <w:vMerge w:val="restart"/>
            <w:shd w:val="clear" w:color="auto" w:fill="auto"/>
            <w:vAlign w:val="center"/>
          </w:tcPr>
          <w:p>
            <w:pPr>
              <w:pStyle w:val="185"/>
              <w:jc w:val="center"/>
              <w:rPr>
                <w:color w:val="auto"/>
                <w:highlight w:val="none"/>
              </w:rPr>
            </w:pPr>
            <w:r>
              <w:rPr>
                <w:rFonts w:hint="eastAsia"/>
                <w:color w:val="auto"/>
                <w:highlight w:val="none"/>
                <w:lang w:eastAsia="zh-CN"/>
              </w:rPr>
              <w:t>泄洪闸</w:t>
            </w:r>
            <w:r>
              <w:rPr>
                <w:rFonts w:hint="eastAsia"/>
                <w:color w:val="auto"/>
                <w:highlight w:val="none"/>
              </w:rPr>
              <w:t>方案一</w:t>
            </w:r>
          </w:p>
        </w:tc>
        <w:tc>
          <w:tcPr>
            <w:tcW w:w="3561" w:type="dxa"/>
            <w:vMerge w:val="restart"/>
            <w:shd w:val="clear" w:color="auto" w:fill="auto"/>
            <w:vAlign w:val="center"/>
          </w:tcPr>
          <w:p>
            <w:pPr>
              <w:pStyle w:val="185"/>
              <w:jc w:val="center"/>
              <w:rPr>
                <w:color w:val="auto"/>
                <w:highlight w:val="none"/>
              </w:rPr>
            </w:pPr>
            <w:r>
              <w:rPr>
                <w:rFonts w:hint="eastAsia"/>
                <w:color w:val="auto"/>
                <w:highlight w:val="none"/>
                <w:lang w:eastAsia="zh-CN"/>
              </w:rPr>
              <w:t>泄洪闸</w:t>
            </w:r>
            <w:r>
              <w:rPr>
                <w:rFonts w:hint="eastAsia"/>
                <w:color w:val="auto"/>
                <w:highlight w:val="none"/>
              </w:rPr>
              <w:t>方案二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blHeader/>
        </w:trPr>
        <w:tc>
          <w:tcPr>
            <w:tcW w:w="686" w:type="dxa"/>
            <w:vMerge w:val="continue"/>
            <w:vAlign w:val="center"/>
          </w:tcPr>
          <w:p>
            <w:pPr>
              <w:pStyle w:val="185"/>
              <w:jc w:val="center"/>
              <w:rPr>
                <w:color w:val="auto"/>
                <w:highlight w:val="none"/>
              </w:rPr>
            </w:pPr>
          </w:p>
        </w:tc>
        <w:tc>
          <w:tcPr>
            <w:tcW w:w="1713" w:type="dxa"/>
            <w:vMerge w:val="continue"/>
            <w:vAlign w:val="center"/>
          </w:tcPr>
          <w:p>
            <w:pPr>
              <w:pStyle w:val="185"/>
              <w:jc w:val="center"/>
              <w:rPr>
                <w:color w:val="auto"/>
                <w:highlight w:val="none"/>
              </w:rPr>
            </w:pPr>
          </w:p>
        </w:tc>
        <w:tc>
          <w:tcPr>
            <w:tcW w:w="2817" w:type="dxa"/>
            <w:vMerge w:val="continue"/>
            <w:vAlign w:val="center"/>
          </w:tcPr>
          <w:p>
            <w:pPr>
              <w:pStyle w:val="185"/>
              <w:jc w:val="center"/>
              <w:rPr>
                <w:color w:val="auto"/>
                <w:highlight w:val="none"/>
              </w:rPr>
            </w:pPr>
          </w:p>
        </w:tc>
        <w:tc>
          <w:tcPr>
            <w:tcW w:w="3561" w:type="dxa"/>
            <w:vMerge w:val="continue"/>
            <w:vAlign w:val="center"/>
          </w:tcPr>
          <w:p>
            <w:pPr>
              <w:pStyle w:val="185"/>
              <w:jc w:val="center"/>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86" w:type="dxa"/>
            <w:shd w:val="clear" w:color="auto" w:fill="auto"/>
            <w:vAlign w:val="center"/>
          </w:tcPr>
          <w:p>
            <w:pPr>
              <w:pStyle w:val="185"/>
              <w:jc w:val="center"/>
              <w:rPr>
                <w:color w:val="auto"/>
                <w:highlight w:val="none"/>
              </w:rPr>
            </w:pPr>
            <w:r>
              <w:rPr>
                <w:rFonts w:hint="eastAsia"/>
                <w:color w:val="auto"/>
                <w:highlight w:val="none"/>
              </w:rPr>
              <w:t>1</w:t>
            </w:r>
          </w:p>
        </w:tc>
        <w:tc>
          <w:tcPr>
            <w:tcW w:w="1713" w:type="dxa"/>
            <w:shd w:val="clear" w:color="auto" w:fill="auto"/>
            <w:vAlign w:val="center"/>
          </w:tcPr>
          <w:p>
            <w:pPr>
              <w:pStyle w:val="185"/>
              <w:jc w:val="center"/>
              <w:rPr>
                <w:color w:val="auto"/>
                <w:highlight w:val="none"/>
              </w:rPr>
            </w:pPr>
            <w:r>
              <w:rPr>
                <w:rFonts w:hint="eastAsia"/>
                <w:color w:val="auto"/>
                <w:highlight w:val="none"/>
              </w:rPr>
              <w:t>投资（万元）</w:t>
            </w:r>
          </w:p>
        </w:tc>
        <w:tc>
          <w:tcPr>
            <w:tcW w:w="2817" w:type="dxa"/>
            <w:shd w:val="clear" w:color="auto" w:fill="auto"/>
            <w:vAlign w:val="center"/>
          </w:tcPr>
          <w:p>
            <w:pPr>
              <w:pStyle w:val="185"/>
              <w:jc w:val="center"/>
              <w:rPr>
                <w:color w:val="auto"/>
                <w:highlight w:val="none"/>
              </w:rPr>
            </w:pPr>
            <w:r>
              <w:rPr>
                <w:rFonts w:hint="eastAsia"/>
                <w:color w:val="auto"/>
                <w:highlight w:val="none"/>
              </w:rPr>
              <w:t>25.69</w:t>
            </w:r>
          </w:p>
        </w:tc>
        <w:tc>
          <w:tcPr>
            <w:tcW w:w="3561" w:type="dxa"/>
            <w:shd w:val="clear" w:color="auto" w:fill="auto"/>
            <w:vAlign w:val="center"/>
          </w:tcPr>
          <w:p>
            <w:pPr>
              <w:pStyle w:val="185"/>
              <w:jc w:val="center"/>
              <w:rPr>
                <w:color w:val="auto"/>
                <w:highlight w:val="none"/>
              </w:rPr>
            </w:pPr>
            <w:r>
              <w:rPr>
                <w:rFonts w:hint="eastAsia"/>
                <w:color w:val="auto"/>
                <w:highlight w:val="none"/>
              </w:rPr>
              <w:t>39.68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6" w:type="dxa"/>
            <w:shd w:val="clear" w:color="auto" w:fill="auto"/>
            <w:vAlign w:val="center"/>
          </w:tcPr>
          <w:p>
            <w:pPr>
              <w:pStyle w:val="185"/>
              <w:jc w:val="center"/>
              <w:rPr>
                <w:color w:val="auto"/>
                <w:highlight w:val="none"/>
              </w:rPr>
            </w:pPr>
            <w:r>
              <w:rPr>
                <w:rFonts w:hint="eastAsia"/>
                <w:color w:val="auto"/>
                <w:highlight w:val="none"/>
              </w:rPr>
              <w:t>2</w:t>
            </w:r>
          </w:p>
        </w:tc>
        <w:tc>
          <w:tcPr>
            <w:tcW w:w="1713" w:type="dxa"/>
            <w:shd w:val="clear" w:color="auto" w:fill="auto"/>
            <w:vAlign w:val="center"/>
          </w:tcPr>
          <w:p>
            <w:pPr>
              <w:pStyle w:val="185"/>
              <w:jc w:val="center"/>
              <w:rPr>
                <w:color w:val="auto"/>
                <w:highlight w:val="none"/>
              </w:rPr>
            </w:pPr>
            <w:r>
              <w:rPr>
                <w:rFonts w:hint="eastAsia"/>
                <w:color w:val="auto"/>
                <w:highlight w:val="none"/>
              </w:rPr>
              <w:t>施工条件及技术要求</w:t>
            </w:r>
          </w:p>
        </w:tc>
        <w:tc>
          <w:tcPr>
            <w:tcW w:w="2817" w:type="dxa"/>
            <w:shd w:val="clear" w:color="auto" w:fill="auto"/>
            <w:vAlign w:val="center"/>
          </w:tcPr>
          <w:p>
            <w:pPr>
              <w:pStyle w:val="185"/>
              <w:jc w:val="center"/>
              <w:rPr>
                <w:color w:val="auto"/>
                <w:highlight w:val="none"/>
              </w:rPr>
            </w:pPr>
            <w:r>
              <w:rPr>
                <w:rFonts w:hint="eastAsia"/>
                <w:color w:val="auto"/>
                <w:highlight w:val="none"/>
              </w:rPr>
              <w:t>就地取材，施工简单，施工质量较容易控制</w:t>
            </w:r>
          </w:p>
        </w:tc>
        <w:tc>
          <w:tcPr>
            <w:tcW w:w="3561" w:type="dxa"/>
            <w:shd w:val="clear" w:color="auto" w:fill="auto"/>
            <w:vAlign w:val="center"/>
          </w:tcPr>
          <w:p>
            <w:pPr>
              <w:pStyle w:val="185"/>
              <w:jc w:val="center"/>
              <w:rPr>
                <w:color w:val="auto"/>
                <w:highlight w:val="none"/>
              </w:rPr>
            </w:pPr>
            <w:r>
              <w:rPr>
                <w:rFonts w:hint="eastAsia"/>
                <w:color w:val="auto"/>
                <w:highlight w:val="none"/>
              </w:rPr>
              <w:t>施工较复杂，技术要求高，施工较难控制质量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6" w:type="dxa"/>
            <w:shd w:val="clear" w:color="auto" w:fill="auto"/>
            <w:vAlign w:val="center"/>
          </w:tcPr>
          <w:p>
            <w:pPr>
              <w:pStyle w:val="185"/>
              <w:jc w:val="center"/>
              <w:rPr>
                <w:color w:val="auto"/>
                <w:highlight w:val="none"/>
              </w:rPr>
            </w:pPr>
            <w:r>
              <w:rPr>
                <w:rFonts w:hint="eastAsia"/>
                <w:color w:val="auto"/>
                <w:highlight w:val="none"/>
              </w:rPr>
              <w:t>4</w:t>
            </w:r>
          </w:p>
        </w:tc>
        <w:tc>
          <w:tcPr>
            <w:tcW w:w="1713" w:type="dxa"/>
            <w:shd w:val="clear" w:color="auto" w:fill="auto"/>
            <w:vAlign w:val="center"/>
          </w:tcPr>
          <w:p>
            <w:pPr>
              <w:pStyle w:val="185"/>
              <w:jc w:val="center"/>
              <w:rPr>
                <w:color w:val="auto"/>
                <w:highlight w:val="none"/>
              </w:rPr>
            </w:pPr>
            <w:r>
              <w:rPr>
                <w:rFonts w:hint="eastAsia"/>
                <w:color w:val="auto"/>
                <w:highlight w:val="none"/>
              </w:rPr>
              <w:t>结构占地</w:t>
            </w:r>
          </w:p>
        </w:tc>
        <w:tc>
          <w:tcPr>
            <w:tcW w:w="2817" w:type="dxa"/>
            <w:shd w:val="clear" w:color="auto" w:fill="auto"/>
            <w:vAlign w:val="center"/>
          </w:tcPr>
          <w:p>
            <w:pPr>
              <w:pStyle w:val="185"/>
              <w:jc w:val="center"/>
              <w:rPr>
                <w:color w:val="auto"/>
                <w:highlight w:val="none"/>
              </w:rPr>
            </w:pPr>
            <w:r>
              <w:rPr>
                <w:rFonts w:hint="eastAsia"/>
                <w:color w:val="auto"/>
                <w:highlight w:val="none"/>
              </w:rPr>
              <w:t>占地较少</w:t>
            </w:r>
          </w:p>
        </w:tc>
        <w:tc>
          <w:tcPr>
            <w:tcW w:w="3561" w:type="dxa"/>
            <w:shd w:val="clear" w:color="auto" w:fill="auto"/>
            <w:vAlign w:val="center"/>
          </w:tcPr>
          <w:p>
            <w:pPr>
              <w:pStyle w:val="185"/>
              <w:jc w:val="center"/>
              <w:rPr>
                <w:color w:val="auto"/>
                <w:highlight w:val="none"/>
              </w:rPr>
            </w:pPr>
            <w:r>
              <w:rPr>
                <w:rFonts w:hint="eastAsia"/>
                <w:color w:val="auto"/>
                <w:highlight w:val="none"/>
              </w:rPr>
              <w:t>实用堰所需的净宽要大很多，增加了闸身和下游泄槽及消力池的占地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6" w:type="dxa"/>
            <w:shd w:val="clear" w:color="auto" w:fill="auto"/>
            <w:vAlign w:val="center"/>
          </w:tcPr>
          <w:p>
            <w:pPr>
              <w:pStyle w:val="185"/>
              <w:jc w:val="center"/>
              <w:rPr>
                <w:color w:val="auto"/>
                <w:highlight w:val="none"/>
              </w:rPr>
            </w:pPr>
            <w:r>
              <w:rPr>
                <w:rFonts w:hint="eastAsia"/>
                <w:color w:val="auto"/>
                <w:highlight w:val="none"/>
              </w:rPr>
              <w:t>5</w:t>
            </w:r>
          </w:p>
        </w:tc>
        <w:tc>
          <w:tcPr>
            <w:tcW w:w="1713" w:type="dxa"/>
            <w:shd w:val="clear" w:color="auto" w:fill="auto"/>
            <w:vAlign w:val="center"/>
          </w:tcPr>
          <w:p>
            <w:pPr>
              <w:pStyle w:val="185"/>
              <w:jc w:val="center"/>
              <w:rPr>
                <w:color w:val="auto"/>
                <w:highlight w:val="none"/>
              </w:rPr>
            </w:pPr>
            <w:r>
              <w:rPr>
                <w:rFonts w:hint="eastAsia"/>
                <w:color w:val="auto"/>
                <w:highlight w:val="none"/>
              </w:rPr>
              <w:t>管理运用</w:t>
            </w:r>
          </w:p>
        </w:tc>
        <w:tc>
          <w:tcPr>
            <w:tcW w:w="2817" w:type="dxa"/>
            <w:shd w:val="clear" w:color="auto" w:fill="auto"/>
            <w:vAlign w:val="center"/>
          </w:tcPr>
          <w:p>
            <w:pPr>
              <w:pStyle w:val="185"/>
              <w:jc w:val="center"/>
              <w:rPr>
                <w:color w:val="auto"/>
                <w:highlight w:val="none"/>
              </w:rPr>
            </w:pPr>
            <w:r>
              <w:rPr>
                <w:rFonts w:hint="eastAsia"/>
                <w:color w:val="auto"/>
                <w:highlight w:val="none"/>
              </w:rPr>
              <w:t>需人工启闭闸门及检修</w:t>
            </w:r>
          </w:p>
        </w:tc>
        <w:tc>
          <w:tcPr>
            <w:tcW w:w="3561" w:type="dxa"/>
            <w:shd w:val="clear" w:color="auto" w:fill="auto"/>
            <w:vAlign w:val="center"/>
          </w:tcPr>
          <w:p>
            <w:pPr>
              <w:pStyle w:val="185"/>
              <w:jc w:val="center"/>
              <w:rPr>
                <w:color w:val="auto"/>
                <w:highlight w:val="none"/>
              </w:rPr>
            </w:pPr>
            <w:r>
              <w:rPr>
                <w:rFonts w:hint="eastAsia"/>
                <w:color w:val="auto"/>
                <w:highlight w:val="none"/>
              </w:rPr>
              <w:t>节省人工启闭闸门，管理运行较方便</w:t>
            </w:r>
          </w:p>
        </w:tc>
      </w:tr>
    </w:tbl>
    <w:p>
      <w:pPr>
        <w:ind w:firstLine="480"/>
        <w:rPr>
          <w:color w:val="auto"/>
          <w:highlight w:val="none"/>
        </w:rPr>
      </w:pPr>
      <w:r>
        <w:rPr>
          <w:rFonts w:hint="eastAsia"/>
          <w:color w:val="auto"/>
          <w:highlight w:val="none"/>
        </w:rPr>
        <w:t>本次工程重建或新建</w:t>
      </w:r>
      <w:r>
        <w:rPr>
          <w:rFonts w:hint="eastAsia"/>
          <w:color w:val="auto"/>
          <w:highlight w:val="none"/>
          <w:lang w:eastAsia="zh-CN"/>
        </w:rPr>
        <w:t>泄洪闸</w:t>
      </w:r>
      <w:r>
        <w:rPr>
          <w:rFonts w:hint="eastAsia"/>
          <w:color w:val="auto"/>
          <w:highlight w:val="none"/>
        </w:rPr>
        <w:t>，结合</w:t>
      </w:r>
      <w:r>
        <w:rPr>
          <w:rFonts w:hint="eastAsia"/>
          <w:color w:val="auto"/>
          <w:highlight w:val="none"/>
          <w:lang w:eastAsia="zh-CN"/>
        </w:rPr>
        <w:t>南大水库灌区</w:t>
      </w:r>
      <w:r>
        <w:rPr>
          <w:rFonts w:hint="eastAsia"/>
          <w:color w:val="auto"/>
          <w:highlight w:val="none"/>
        </w:rPr>
        <w:t>干渠管理员对渠道沿途</w:t>
      </w:r>
      <w:r>
        <w:rPr>
          <w:rFonts w:hint="eastAsia"/>
          <w:color w:val="auto"/>
          <w:highlight w:val="none"/>
          <w:lang w:eastAsia="zh-CN"/>
        </w:rPr>
        <w:t>泄洪闸</w:t>
      </w:r>
      <w:r>
        <w:rPr>
          <w:rFonts w:hint="eastAsia"/>
          <w:color w:val="auto"/>
          <w:highlight w:val="none"/>
        </w:rPr>
        <w:t>多年管护经验，实用堰虽然能节省人工启闭闸门，但其过流能力有限，在相同过流情况下，实用堰所需的净宽要大很多，增加了闸身和下游泄槽及消力池的占地，工程实施的投资及成本都会增加。渠道原有</w:t>
      </w:r>
      <w:r>
        <w:rPr>
          <w:rFonts w:hint="eastAsia"/>
          <w:color w:val="auto"/>
          <w:highlight w:val="none"/>
          <w:lang w:eastAsia="zh-CN"/>
        </w:rPr>
        <w:t>泄洪闸</w:t>
      </w:r>
      <w:r>
        <w:rPr>
          <w:rFonts w:hint="eastAsia"/>
          <w:color w:val="auto"/>
          <w:highlight w:val="none"/>
        </w:rPr>
        <w:t>均采用无坎宽顶堰形式，雨季排洪时能快速有效的降低渠段洪水位，较好的解决了排洪问题，所以本次设计拟采用方案一，采用无坎宽顶堰形式。</w:t>
      </w:r>
    </w:p>
    <w:p>
      <w:pPr>
        <w:ind w:firstLine="480"/>
        <w:rPr>
          <w:color w:val="auto"/>
          <w:highlight w:val="none"/>
        </w:rPr>
      </w:pPr>
      <w:r>
        <w:rPr>
          <w:rFonts w:hint="eastAsia"/>
          <w:color w:val="auto"/>
          <w:highlight w:val="none"/>
        </w:rPr>
        <w:t>（2）水闸断面设计</w:t>
      </w:r>
    </w:p>
    <w:p>
      <w:pPr>
        <w:ind w:firstLine="480"/>
        <w:rPr>
          <w:color w:val="auto"/>
          <w:highlight w:val="none"/>
        </w:rPr>
      </w:pPr>
      <w:r>
        <w:rPr>
          <w:rFonts w:hint="eastAsia"/>
          <w:color w:val="auto"/>
          <w:highlight w:val="none"/>
        </w:rPr>
        <w:t>重建或改造</w:t>
      </w:r>
      <w:r>
        <w:rPr>
          <w:rFonts w:hint="eastAsia"/>
          <w:color w:val="auto"/>
          <w:highlight w:val="none"/>
          <w:lang w:eastAsia="zh-CN"/>
        </w:rPr>
        <w:t>泄洪闸</w:t>
      </w:r>
      <w:r>
        <w:rPr>
          <w:rFonts w:hint="eastAsia"/>
          <w:color w:val="auto"/>
          <w:highlight w:val="none"/>
        </w:rPr>
        <w:t>均采用开敞式宽顶堰，闸室结构考虑渠顶交通要求采用钢筋混凝土涵洞形式，闸室底板高程与上级渠底齐平。</w:t>
      </w:r>
      <w:r>
        <w:rPr>
          <w:rFonts w:hint="eastAsia"/>
          <w:color w:val="auto"/>
          <w:highlight w:val="none"/>
          <w:lang w:eastAsia="zh-CN"/>
        </w:rPr>
        <w:t>泄洪闸</w:t>
      </w:r>
      <w:r>
        <w:rPr>
          <w:rFonts w:hint="eastAsia"/>
          <w:color w:val="auto"/>
          <w:highlight w:val="none"/>
        </w:rPr>
        <w:t>设计结合水位、高程确定闸门尺寸，按宽顶堰过流公式计算闸孔宽度，尽量考虑统一规格</w:t>
      </w:r>
      <w:r>
        <w:rPr>
          <w:color w:val="auto"/>
          <w:highlight w:val="none"/>
        </w:rPr>
        <w:t>。</w:t>
      </w:r>
      <w:r>
        <w:rPr>
          <w:rFonts w:hint="eastAsia"/>
          <w:color w:val="auto"/>
          <w:highlight w:val="none"/>
        </w:rPr>
        <w:t>部分重建</w:t>
      </w:r>
      <w:r>
        <w:rPr>
          <w:rFonts w:hint="eastAsia"/>
          <w:color w:val="auto"/>
          <w:highlight w:val="none"/>
          <w:lang w:eastAsia="zh-CN"/>
        </w:rPr>
        <w:t>泄洪闸</w:t>
      </w:r>
      <w:r>
        <w:rPr>
          <w:rFonts w:hint="eastAsia"/>
          <w:color w:val="auto"/>
          <w:highlight w:val="none"/>
        </w:rPr>
        <w:t>，按过流要求复核，闸孔尺寸偏大，本次设计将保留原闸孔宽度，预留较大安全系数。</w:t>
      </w:r>
    </w:p>
    <w:p>
      <w:pPr>
        <w:ind w:firstLine="480"/>
        <w:rPr>
          <w:rFonts w:hint="eastAsia"/>
          <w:color w:val="auto"/>
          <w:highlight w:val="none"/>
        </w:rPr>
      </w:pPr>
      <w:r>
        <w:rPr>
          <w:rFonts w:hint="eastAsia"/>
          <w:color w:val="auto"/>
          <w:highlight w:val="none"/>
          <w:lang w:eastAsia="zh-CN"/>
        </w:rPr>
        <w:t>泄洪闸</w:t>
      </w:r>
      <w:r>
        <w:rPr>
          <w:rFonts w:hint="eastAsia"/>
          <w:color w:val="auto"/>
          <w:highlight w:val="none"/>
        </w:rPr>
        <w:t>由进水口</w:t>
      </w:r>
      <w:r>
        <w:rPr>
          <w:rFonts w:hint="eastAsia"/>
          <w:color w:val="auto"/>
          <w:highlight w:val="none"/>
          <w:lang w:eastAsia="zh-CN"/>
        </w:rPr>
        <w:t>浆砌石</w:t>
      </w:r>
      <w:r>
        <w:rPr>
          <w:rFonts w:hint="eastAsia"/>
          <w:color w:val="auto"/>
          <w:highlight w:val="none"/>
        </w:rPr>
        <w:t>土挡墙、钢筋混凝土闸室、混凝土泄槽、出口混凝土消力池、块石防冲槽等组成。闸门采用预制</w:t>
      </w:r>
      <w:r>
        <w:rPr>
          <w:rFonts w:hint="eastAsia"/>
          <w:color w:val="auto"/>
          <w:highlight w:val="none"/>
          <w:lang w:eastAsia="zh-CN"/>
        </w:rPr>
        <w:t>钢筋砼</w:t>
      </w:r>
      <w:r>
        <w:rPr>
          <w:rFonts w:hint="eastAsia"/>
          <w:color w:val="auto"/>
          <w:highlight w:val="none"/>
        </w:rPr>
        <w:t>闸门，启闭方式采用5t手动葫芦启闭。水闸改造特性表见</w:t>
      </w:r>
      <w:r>
        <w:rPr>
          <w:rFonts w:hint="eastAsia"/>
          <w:color w:val="auto"/>
          <w:highlight w:val="none"/>
          <w:lang w:eastAsia="zh-CN"/>
        </w:rPr>
        <w:t>下</w:t>
      </w:r>
      <w:r>
        <w:rPr>
          <w:rFonts w:hint="eastAsia"/>
          <w:color w:val="auto"/>
          <w:highlight w:val="none"/>
        </w:rPr>
        <w:t>表。</w:t>
      </w:r>
    </w:p>
    <w:p>
      <w:pPr>
        <w:ind w:firstLine="480"/>
        <w:jc w:val="center"/>
        <w:rPr>
          <w:color w:val="auto"/>
          <w:highlight w:val="none"/>
        </w:rPr>
      </w:pPr>
      <w:r>
        <w:rPr>
          <w:rFonts w:hint="eastAsia"/>
          <w:color w:val="auto"/>
          <w:highlight w:val="none"/>
        </w:rPr>
        <w:t>表5-</w:t>
      </w:r>
      <w:r>
        <w:rPr>
          <w:rFonts w:hint="eastAsia"/>
          <w:color w:val="auto"/>
          <w:highlight w:val="none"/>
          <w:lang w:val="en-US" w:eastAsia="zh-CN"/>
        </w:rPr>
        <w:t xml:space="preserve">2 </w:t>
      </w:r>
      <w:r>
        <w:rPr>
          <w:rFonts w:hint="eastAsia"/>
          <w:color w:val="auto"/>
          <w:highlight w:val="none"/>
        </w:rPr>
        <w:t xml:space="preserve"> 水闸特性</w:t>
      </w:r>
    </w:p>
    <w:tbl>
      <w:tblPr>
        <w:tblStyle w:val="47"/>
        <w:tblW w:w="87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2268"/>
        <w:gridCol w:w="1136"/>
        <w:gridCol w:w="1418"/>
        <w:gridCol w:w="848"/>
        <w:gridCol w:w="22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jc w:val="center"/>
        </w:trPr>
        <w:tc>
          <w:tcPr>
            <w:tcW w:w="816" w:type="dxa"/>
            <w:vAlign w:val="center"/>
          </w:tcPr>
          <w:p>
            <w:pPr>
              <w:pStyle w:val="272"/>
              <w:jc w:val="center"/>
              <w:rPr>
                <w:rFonts w:hint="eastAsia"/>
                <w:color w:val="auto"/>
                <w:highlight w:val="none"/>
                <w:lang w:val="en-US" w:eastAsia="zh-CN"/>
              </w:rPr>
            </w:pPr>
            <w:r>
              <w:rPr>
                <w:rFonts w:hint="eastAsia"/>
                <w:color w:val="auto"/>
                <w:highlight w:val="none"/>
                <w:lang w:val="en-US" w:eastAsia="zh-CN"/>
              </w:rPr>
              <w:t>序号</w:t>
            </w:r>
          </w:p>
        </w:tc>
        <w:tc>
          <w:tcPr>
            <w:tcW w:w="2268" w:type="dxa"/>
            <w:vAlign w:val="center"/>
          </w:tcPr>
          <w:p>
            <w:pPr>
              <w:pStyle w:val="272"/>
              <w:jc w:val="center"/>
              <w:rPr>
                <w:rFonts w:hint="eastAsia"/>
                <w:color w:val="auto"/>
                <w:highlight w:val="none"/>
                <w:lang w:val="en-US" w:eastAsia="zh-CN"/>
              </w:rPr>
            </w:pPr>
            <w:r>
              <w:rPr>
                <w:rFonts w:hint="eastAsia"/>
                <w:color w:val="auto"/>
                <w:highlight w:val="none"/>
                <w:lang w:val="en-US" w:eastAsia="zh-CN"/>
              </w:rPr>
              <w:t>水闸名称</w:t>
            </w:r>
          </w:p>
        </w:tc>
        <w:tc>
          <w:tcPr>
            <w:tcW w:w="1136" w:type="dxa"/>
            <w:vAlign w:val="center"/>
          </w:tcPr>
          <w:p>
            <w:pPr>
              <w:pStyle w:val="272"/>
              <w:jc w:val="center"/>
              <w:rPr>
                <w:rFonts w:hint="eastAsia"/>
                <w:color w:val="auto"/>
                <w:highlight w:val="none"/>
                <w:lang w:val="en-US" w:eastAsia="zh-CN"/>
              </w:rPr>
            </w:pPr>
            <w:r>
              <w:rPr>
                <w:rFonts w:hint="eastAsia"/>
                <w:color w:val="auto"/>
                <w:highlight w:val="none"/>
                <w:lang w:val="en-US" w:eastAsia="zh-CN"/>
              </w:rPr>
              <w:t>所在桩号</w:t>
            </w:r>
          </w:p>
        </w:tc>
        <w:tc>
          <w:tcPr>
            <w:tcW w:w="1418" w:type="dxa"/>
            <w:vAlign w:val="center"/>
          </w:tcPr>
          <w:p>
            <w:pPr>
              <w:pStyle w:val="272"/>
              <w:jc w:val="center"/>
              <w:rPr>
                <w:rFonts w:hint="eastAsia"/>
                <w:color w:val="auto"/>
                <w:highlight w:val="none"/>
                <w:lang w:val="en-US" w:eastAsia="zh-CN"/>
              </w:rPr>
            </w:pPr>
            <w:r>
              <w:rPr>
                <w:rFonts w:hint="eastAsia"/>
                <w:color w:val="auto"/>
                <w:highlight w:val="none"/>
                <w:lang w:val="en-US" w:eastAsia="zh-CN"/>
              </w:rPr>
              <w:t>单宽(m)</w:t>
            </w:r>
          </w:p>
        </w:tc>
        <w:tc>
          <w:tcPr>
            <w:tcW w:w="848" w:type="dxa"/>
            <w:vAlign w:val="center"/>
          </w:tcPr>
          <w:p>
            <w:pPr>
              <w:pStyle w:val="272"/>
              <w:jc w:val="center"/>
              <w:rPr>
                <w:rFonts w:hint="eastAsia"/>
                <w:color w:val="auto"/>
                <w:highlight w:val="none"/>
                <w:lang w:val="en-US" w:eastAsia="zh-CN"/>
              </w:rPr>
            </w:pPr>
            <w:r>
              <w:rPr>
                <w:rFonts w:hint="eastAsia"/>
                <w:color w:val="auto"/>
                <w:highlight w:val="none"/>
                <w:lang w:val="en-US" w:eastAsia="zh-CN"/>
              </w:rPr>
              <w:t>孔数</w:t>
            </w:r>
          </w:p>
        </w:tc>
        <w:tc>
          <w:tcPr>
            <w:tcW w:w="2291" w:type="dxa"/>
            <w:vAlign w:val="center"/>
          </w:tcPr>
          <w:p>
            <w:pPr>
              <w:pStyle w:val="272"/>
              <w:jc w:val="center"/>
              <w:rPr>
                <w:rFonts w:hint="eastAsia"/>
                <w:color w:val="auto"/>
                <w:highlight w:val="none"/>
                <w:lang w:val="en-US" w:eastAsia="zh-CN"/>
              </w:rPr>
            </w:pPr>
            <w:r>
              <w:rPr>
                <w:rFonts w:hint="eastAsia"/>
                <w:color w:val="auto"/>
                <w:highlight w:val="none"/>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816" w:type="dxa"/>
            <w:vAlign w:val="center"/>
          </w:tcPr>
          <w:p>
            <w:pPr>
              <w:pStyle w:val="272"/>
              <w:jc w:val="center"/>
              <w:rPr>
                <w:rFonts w:hint="eastAsia"/>
                <w:color w:val="auto"/>
                <w:highlight w:val="none"/>
                <w:lang w:val="en-US" w:eastAsia="zh-CN"/>
              </w:rPr>
            </w:pPr>
            <w:r>
              <w:rPr>
                <w:rFonts w:hint="eastAsia"/>
                <w:color w:val="auto"/>
                <w:highlight w:val="none"/>
                <w:lang w:val="en-US" w:eastAsia="zh-CN"/>
              </w:rPr>
              <w:t>1</w:t>
            </w:r>
          </w:p>
        </w:tc>
        <w:tc>
          <w:tcPr>
            <w:tcW w:w="2268" w:type="dxa"/>
            <w:vAlign w:val="center"/>
          </w:tcPr>
          <w:p>
            <w:pPr>
              <w:pStyle w:val="272"/>
              <w:jc w:val="center"/>
              <w:rPr>
                <w:rFonts w:hint="eastAsia"/>
                <w:color w:val="auto"/>
                <w:highlight w:val="none"/>
                <w:lang w:val="en-US" w:eastAsia="zh-CN"/>
              </w:rPr>
            </w:pPr>
            <w:r>
              <w:rPr>
                <w:rFonts w:hint="eastAsia"/>
                <w:color w:val="auto"/>
                <w:highlight w:val="none"/>
                <w:lang w:val="en-US" w:eastAsia="zh-CN"/>
              </w:rPr>
              <w:t>1#泄洪闸</w:t>
            </w:r>
          </w:p>
        </w:tc>
        <w:tc>
          <w:tcPr>
            <w:tcW w:w="1136" w:type="dxa"/>
            <w:vAlign w:val="center"/>
          </w:tcPr>
          <w:p>
            <w:pPr>
              <w:pStyle w:val="272"/>
              <w:jc w:val="center"/>
              <w:rPr>
                <w:rFonts w:hint="default"/>
                <w:color w:val="auto"/>
                <w:highlight w:val="none"/>
                <w:lang w:val="en-US" w:eastAsia="zh-CN"/>
              </w:rPr>
            </w:pPr>
            <w:r>
              <w:rPr>
                <w:rFonts w:hint="eastAsia"/>
                <w:color w:val="auto"/>
                <w:highlight w:val="none"/>
                <w:lang w:val="en-US" w:eastAsia="zh-CN"/>
              </w:rPr>
              <w:t>0+005</w:t>
            </w:r>
          </w:p>
        </w:tc>
        <w:tc>
          <w:tcPr>
            <w:tcW w:w="1418" w:type="dxa"/>
            <w:vAlign w:val="center"/>
          </w:tcPr>
          <w:p>
            <w:pPr>
              <w:pStyle w:val="272"/>
              <w:jc w:val="center"/>
              <w:rPr>
                <w:rFonts w:hint="eastAsia"/>
                <w:color w:val="auto"/>
                <w:highlight w:val="none"/>
                <w:lang w:val="en-US" w:eastAsia="zh-CN"/>
              </w:rPr>
            </w:pPr>
            <w:r>
              <w:rPr>
                <w:rFonts w:hint="eastAsia"/>
                <w:color w:val="auto"/>
                <w:highlight w:val="none"/>
                <w:lang w:val="en-US" w:eastAsia="zh-CN"/>
              </w:rPr>
              <w:t>2</w:t>
            </w:r>
          </w:p>
        </w:tc>
        <w:tc>
          <w:tcPr>
            <w:tcW w:w="848" w:type="dxa"/>
            <w:vAlign w:val="center"/>
          </w:tcPr>
          <w:p>
            <w:pPr>
              <w:pStyle w:val="272"/>
              <w:jc w:val="center"/>
              <w:rPr>
                <w:rFonts w:hint="eastAsia"/>
                <w:color w:val="auto"/>
                <w:highlight w:val="none"/>
                <w:lang w:val="en-US" w:eastAsia="zh-CN"/>
              </w:rPr>
            </w:pPr>
            <w:r>
              <w:rPr>
                <w:rFonts w:hint="eastAsia"/>
                <w:color w:val="auto"/>
                <w:highlight w:val="none"/>
                <w:lang w:val="en-US" w:eastAsia="zh-CN"/>
              </w:rPr>
              <w:t>1</w:t>
            </w:r>
          </w:p>
        </w:tc>
        <w:tc>
          <w:tcPr>
            <w:tcW w:w="2291" w:type="dxa"/>
            <w:vAlign w:val="center"/>
          </w:tcPr>
          <w:p>
            <w:pPr>
              <w:pStyle w:val="272"/>
              <w:jc w:val="center"/>
              <w:rPr>
                <w:rFonts w:hint="eastAsia"/>
                <w:color w:val="auto"/>
                <w:highlight w:val="none"/>
                <w:lang w:val="en-US" w:eastAsia="zh-CN"/>
              </w:rPr>
            </w:pPr>
            <w:r>
              <w:rPr>
                <w:rFonts w:hint="eastAsia"/>
                <w:color w:val="auto"/>
                <w:highlight w:val="none"/>
                <w:lang w:val="en-US" w:eastAsia="zh-CN"/>
              </w:rPr>
              <w:t>拆除重建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816" w:type="dxa"/>
            <w:vAlign w:val="center"/>
          </w:tcPr>
          <w:p>
            <w:pPr>
              <w:pStyle w:val="272"/>
              <w:jc w:val="center"/>
              <w:rPr>
                <w:rFonts w:hint="eastAsia"/>
                <w:color w:val="auto"/>
                <w:highlight w:val="none"/>
                <w:lang w:val="en-US" w:eastAsia="zh-CN"/>
              </w:rPr>
            </w:pPr>
            <w:r>
              <w:rPr>
                <w:rFonts w:hint="eastAsia"/>
                <w:color w:val="auto"/>
                <w:highlight w:val="none"/>
                <w:lang w:val="en-US" w:eastAsia="zh-CN"/>
              </w:rPr>
              <w:t>2</w:t>
            </w:r>
          </w:p>
        </w:tc>
        <w:tc>
          <w:tcPr>
            <w:tcW w:w="2268" w:type="dxa"/>
            <w:vAlign w:val="center"/>
          </w:tcPr>
          <w:p>
            <w:pPr>
              <w:pStyle w:val="272"/>
              <w:jc w:val="center"/>
              <w:rPr>
                <w:rFonts w:hint="eastAsia"/>
                <w:color w:val="auto"/>
                <w:highlight w:val="none"/>
                <w:lang w:val="en-US" w:eastAsia="zh-CN"/>
              </w:rPr>
            </w:pPr>
            <w:r>
              <w:rPr>
                <w:rFonts w:hint="eastAsia"/>
                <w:color w:val="auto"/>
                <w:highlight w:val="none"/>
                <w:lang w:val="en-US" w:eastAsia="zh-CN"/>
              </w:rPr>
              <w:t>2#泄洪闸</w:t>
            </w:r>
          </w:p>
        </w:tc>
        <w:tc>
          <w:tcPr>
            <w:tcW w:w="1136" w:type="dxa"/>
            <w:vAlign w:val="center"/>
          </w:tcPr>
          <w:p>
            <w:pPr>
              <w:pStyle w:val="272"/>
              <w:jc w:val="center"/>
              <w:rPr>
                <w:rFonts w:hint="default"/>
                <w:color w:val="auto"/>
                <w:highlight w:val="none"/>
                <w:lang w:val="en-US" w:eastAsia="zh-CN"/>
              </w:rPr>
            </w:pPr>
            <w:r>
              <w:rPr>
                <w:rFonts w:hint="eastAsia"/>
                <w:color w:val="auto"/>
                <w:highlight w:val="none"/>
                <w:lang w:val="en-US" w:eastAsia="zh-CN"/>
              </w:rPr>
              <w:t>0+100</w:t>
            </w:r>
          </w:p>
        </w:tc>
        <w:tc>
          <w:tcPr>
            <w:tcW w:w="1418" w:type="dxa"/>
            <w:vAlign w:val="center"/>
          </w:tcPr>
          <w:p>
            <w:pPr>
              <w:pStyle w:val="272"/>
              <w:jc w:val="center"/>
              <w:rPr>
                <w:rFonts w:hint="eastAsia"/>
                <w:color w:val="auto"/>
                <w:highlight w:val="none"/>
                <w:lang w:val="en-US" w:eastAsia="zh-CN"/>
              </w:rPr>
            </w:pPr>
            <w:r>
              <w:rPr>
                <w:rFonts w:hint="eastAsia"/>
                <w:color w:val="auto"/>
                <w:highlight w:val="none"/>
                <w:lang w:val="en-US" w:eastAsia="zh-CN"/>
              </w:rPr>
              <w:t>2</w:t>
            </w:r>
          </w:p>
        </w:tc>
        <w:tc>
          <w:tcPr>
            <w:tcW w:w="848" w:type="dxa"/>
            <w:vAlign w:val="center"/>
          </w:tcPr>
          <w:p>
            <w:pPr>
              <w:pStyle w:val="272"/>
              <w:jc w:val="center"/>
              <w:rPr>
                <w:rFonts w:hint="eastAsia"/>
                <w:color w:val="auto"/>
                <w:highlight w:val="none"/>
                <w:lang w:val="en-US" w:eastAsia="zh-CN"/>
              </w:rPr>
            </w:pPr>
            <w:r>
              <w:rPr>
                <w:rFonts w:hint="eastAsia"/>
                <w:color w:val="auto"/>
                <w:highlight w:val="none"/>
                <w:lang w:val="en-US" w:eastAsia="zh-CN"/>
              </w:rPr>
              <w:t>1</w:t>
            </w:r>
          </w:p>
        </w:tc>
        <w:tc>
          <w:tcPr>
            <w:tcW w:w="2291" w:type="dxa"/>
            <w:vAlign w:val="center"/>
          </w:tcPr>
          <w:p>
            <w:pPr>
              <w:pStyle w:val="272"/>
              <w:jc w:val="center"/>
              <w:rPr>
                <w:rFonts w:hint="eastAsia"/>
                <w:color w:val="auto"/>
                <w:highlight w:val="none"/>
                <w:lang w:val="en-US" w:eastAsia="zh-CN"/>
              </w:rPr>
            </w:pPr>
            <w:r>
              <w:rPr>
                <w:rFonts w:hint="eastAsia"/>
                <w:color w:val="auto"/>
                <w:highlight w:val="none"/>
                <w:lang w:val="en-US" w:eastAsia="zh-CN"/>
              </w:rPr>
              <w:t>拆除重建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816" w:type="dxa"/>
            <w:vAlign w:val="center"/>
          </w:tcPr>
          <w:p>
            <w:pPr>
              <w:pStyle w:val="272"/>
              <w:ind w:firstLine="0" w:firstLineChars="0"/>
              <w:jc w:val="center"/>
              <w:rPr>
                <w:rFonts w:hint="eastAsia"/>
                <w:color w:val="auto"/>
                <w:highlight w:val="none"/>
                <w:lang w:val="en-US" w:eastAsia="zh-CN"/>
              </w:rPr>
            </w:pPr>
            <w:r>
              <w:rPr>
                <w:rFonts w:hint="eastAsia"/>
                <w:color w:val="auto"/>
                <w:highlight w:val="none"/>
                <w:lang w:val="en-US" w:eastAsia="zh-CN"/>
              </w:rPr>
              <w:t>2</w:t>
            </w:r>
          </w:p>
        </w:tc>
        <w:tc>
          <w:tcPr>
            <w:tcW w:w="2268" w:type="dxa"/>
            <w:vAlign w:val="center"/>
          </w:tcPr>
          <w:p>
            <w:pPr>
              <w:pStyle w:val="272"/>
              <w:ind w:firstLine="0" w:firstLineChars="0"/>
              <w:jc w:val="center"/>
              <w:rPr>
                <w:rFonts w:hint="eastAsia"/>
                <w:color w:val="auto"/>
                <w:highlight w:val="none"/>
                <w:lang w:val="en-US" w:eastAsia="zh-CN"/>
              </w:rPr>
            </w:pPr>
            <w:r>
              <w:rPr>
                <w:rFonts w:hint="eastAsia"/>
                <w:color w:val="auto"/>
                <w:highlight w:val="none"/>
                <w:lang w:val="en-US" w:eastAsia="zh-CN"/>
              </w:rPr>
              <w:t>3#泄洪闸</w:t>
            </w:r>
          </w:p>
        </w:tc>
        <w:tc>
          <w:tcPr>
            <w:tcW w:w="1136" w:type="dxa"/>
            <w:vAlign w:val="center"/>
          </w:tcPr>
          <w:p>
            <w:pPr>
              <w:pStyle w:val="272"/>
              <w:ind w:firstLine="0" w:firstLineChars="0"/>
              <w:jc w:val="center"/>
              <w:rPr>
                <w:rFonts w:hint="default"/>
                <w:color w:val="auto"/>
                <w:highlight w:val="none"/>
                <w:lang w:val="en-US" w:eastAsia="zh-CN"/>
              </w:rPr>
            </w:pPr>
            <w:r>
              <w:rPr>
                <w:rFonts w:hint="eastAsia"/>
                <w:color w:val="auto"/>
                <w:highlight w:val="none"/>
                <w:lang w:val="en-US" w:eastAsia="zh-CN"/>
              </w:rPr>
              <w:t>1+000</w:t>
            </w:r>
          </w:p>
        </w:tc>
        <w:tc>
          <w:tcPr>
            <w:tcW w:w="1418" w:type="dxa"/>
            <w:vAlign w:val="center"/>
          </w:tcPr>
          <w:p>
            <w:pPr>
              <w:pStyle w:val="272"/>
              <w:ind w:firstLine="0" w:firstLineChars="0"/>
              <w:jc w:val="center"/>
              <w:rPr>
                <w:rFonts w:hint="eastAsia"/>
                <w:color w:val="auto"/>
                <w:highlight w:val="none"/>
                <w:lang w:val="en-US" w:eastAsia="zh-CN"/>
              </w:rPr>
            </w:pPr>
            <w:r>
              <w:rPr>
                <w:rFonts w:hint="eastAsia"/>
                <w:color w:val="auto"/>
                <w:highlight w:val="none"/>
                <w:lang w:val="en-US" w:eastAsia="zh-CN"/>
              </w:rPr>
              <w:t>2</w:t>
            </w:r>
          </w:p>
        </w:tc>
        <w:tc>
          <w:tcPr>
            <w:tcW w:w="848" w:type="dxa"/>
            <w:vAlign w:val="center"/>
          </w:tcPr>
          <w:p>
            <w:pPr>
              <w:pStyle w:val="272"/>
              <w:ind w:firstLine="0" w:firstLineChars="0"/>
              <w:jc w:val="center"/>
              <w:rPr>
                <w:rFonts w:hint="eastAsia"/>
                <w:color w:val="auto"/>
                <w:highlight w:val="none"/>
                <w:lang w:val="en-US" w:eastAsia="zh-CN"/>
              </w:rPr>
            </w:pPr>
            <w:r>
              <w:rPr>
                <w:rFonts w:hint="eastAsia"/>
                <w:color w:val="auto"/>
                <w:highlight w:val="none"/>
                <w:lang w:val="en-US" w:eastAsia="zh-CN"/>
              </w:rPr>
              <w:t>1</w:t>
            </w:r>
          </w:p>
        </w:tc>
        <w:tc>
          <w:tcPr>
            <w:tcW w:w="2291" w:type="dxa"/>
            <w:vAlign w:val="center"/>
          </w:tcPr>
          <w:p>
            <w:pPr>
              <w:pStyle w:val="272"/>
              <w:ind w:firstLine="0" w:firstLineChars="0"/>
              <w:jc w:val="center"/>
              <w:rPr>
                <w:rFonts w:hint="eastAsia"/>
                <w:color w:val="auto"/>
                <w:highlight w:val="none"/>
                <w:lang w:val="en-US" w:eastAsia="zh-CN"/>
              </w:rPr>
            </w:pPr>
            <w:r>
              <w:rPr>
                <w:rFonts w:hint="eastAsia"/>
                <w:color w:val="auto"/>
                <w:highlight w:val="none"/>
                <w:lang w:val="en-US" w:eastAsia="zh-CN"/>
              </w:rPr>
              <w:t>新建</w:t>
            </w:r>
          </w:p>
        </w:tc>
      </w:tr>
    </w:tbl>
    <w:p>
      <w:pPr>
        <w:ind w:firstLine="480"/>
        <w:rPr>
          <w:color w:val="auto"/>
          <w:highlight w:val="none"/>
        </w:rPr>
      </w:pPr>
      <w:r>
        <w:rPr>
          <w:rFonts w:hint="eastAsia"/>
          <w:color w:val="auto"/>
          <w:highlight w:val="none"/>
        </w:rPr>
        <w:t>（3） 水闸设计计算</w:t>
      </w:r>
    </w:p>
    <w:p>
      <w:pPr>
        <w:ind w:firstLine="480"/>
        <w:rPr>
          <w:color w:val="auto"/>
          <w:highlight w:val="none"/>
        </w:rPr>
      </w:pPr>
      <w:r>
        <w:rPr>
          <w:rFonts w:hint="eastAsia"/>
          <w:color w:val="auto"/>
          <w:highlight w:val="none"/>
        </w:rPr>
        <w:t>1）水闸过流计算</w:t>
      </w:r>
    </w:p>
    <w:p>
      <w:pPr>
        <w:ind w:firstLine="480"/>
        <w:rPr>
          <w:color w:val="auto"/>
          <w:highlight w:val="none"/>
        </w:rPr>
      </w:pPr>
      <w:r>
        <w:rPr>
          <w:rFonts w:hint="eastAsia"/>
          <w:color w:val="auto"/>
          <w:highlight w:val="none"/>
        </w:rPr>
        <w:t>采用宽顶堰过流公式复核</w:t>
      </w:r>
      <w:r>
        <w:rPr>
          <w:rFonts w:hint="eastAsia"/>
          <w:color w:val="auto"/>
          <w:highlight w:val="none"/>
          <w:lang w:eastAsia="zh-CN"/>
        </w:rPr>
        <w:t>泄洪闸</w:t>
      </w:r>
      <w:r>
        <w:rPr>
          <w:rFonts w:hint="eastAsia"/>
          <w:color w:val="auto"/>
          <w:highlight w:val="none"/>
        </w:rPr>
        <w:t>过流能力。</w:t>
      </w:r>
    </w:p>
    <w:p>
      <w:pPr>
        <w:ind w:firstLine="560"/>
        <w:rPr>
          <w:rFonts w:ascii="宋体" w:hAnsi="宋体"/>
          <w:color w:val="auto"/>
          <w:position w:val="-12"/>
          <w:sz w:val="28"/>
          <w:szCs w:val="28"/>
          <w:highlight w:val="none"/>
        </w:rPr>
      </w:pPr>
      <w:r>
        <w:rPr>
          <w:rFonts w:hint="eastAsia"/>
          <w:color w:val="auto"/>
          <w:sz w:val="28"/>
          <w:szCs w:val="28"/>
          <w:highlight w:val="none"/>
        </w:rPr>
        <w:t xml:space="preserve"> </w:t>
      </w:r>
      <w:r>
        <w:rPr>
          <w:rFonts w:ascii="宋体" w:hAnsi="宋体"/>
          <w:color w:val="auto"/>
          <w:position w:val="-12"/>
          <w:sz w:val="28"/>
          <w:szCs w:val="28"/>
          <w:highlight w:val="none"/>
        </w:rPr>
        <w:object>
          <v:shape id="_x0000_i1039" o:spt="75" type="#_x0000_t75" style="height:21.75pt;width:99.75pt;" o:ole="t" filled="f" o:preferrelative="t" stroked="f" coordsize="21600,21600">
            <v:path/>
            <v:fill on="f" focussize="0,0"/>
            <v:stroke on="f" joinstyle="miter"/>
            <v:imagedata r:id="rId75" o:title=""/>
            <o:lock v:ext="edit" aspectratio="t"/>
            <w10:wrap type="none"/>
            <w10:anchorlock/>
          </v:shape>
          <o:OLEObject Type="Embed" ProgID="Equation.DSMT4" ShapeID="_x0000_i1039" DrawAspect="Content" ObjectID="_1468075739" r:id="rId74">
            <o:LockedField>false</o:LockedField>
          </o:OLEObject>
        </w:object>
      </w:r>
    </w:p>
    <w:p>
      <w:pPr>
        <w:ind w:firstLine="480"/>
        <w:rPr>
          <w:color w:val="auto"/>
          <w:highlight w:val="none"/>
        </w:rPr>
      </w:pPr>
      <w:r>
        <w:rPr>
          <w:rFonts w:hint="eastAsia"/>
          <w:color w:val="auto"/>
          <w:highlight w:val="none"/>
        </w:rPr>
        <w:t>式中：Q——水闸过流能力，</w:t>
      </w:r>
      <w:r>
        <w:rPr>
          <w:rFonts w:hint="eastAsia"/>
          <w:color w:val="auto"/>
          <w:highlight w:val="none"/>
          <w:lang w:eastAsia="zh-CN"/>
        </w:rPr>
        <w:t>m³</w:t>
      </w:r>
      <w:r>
        <w:rPr>
          <w:rFonts w:hint="eastAsia"/>
          <w:color w:val="auto"/>
          <w:highlight w:val="none"/>
        </w:rPr>
        <w:t>/s；</w:t>
      </w:r>
    </w:p>
    <w:p>
      <w:pPr>
        <w:ind w:firstLine="480"/>
        <w:rPr>
          <w:color w:val="auto"/>
          <w:highlight w:val="none"/>
        </w:rPr>
      </w:pPr>
      <w:r>
        <w:rPr>
          <w:color w:val="auto"/>
          <w:highlight w:val="none"/>
        </w:rPr>
        <w:object>
          <v:shape id="_x0000_i1040" o:spt="75" type="#_x0000_t75" style="height:19.5pt;width:15.75pt;" o:ole="t" filled="f" o:preferrelative="t" stroked="f" coordsize="21600,21600">
            <v:path/>
            <v:fill on="f" focussize="0,0"/>
            <v:stroke on="f" joinstyle="miter"/>
            <v:imagedata r:id="rId77" o:title=""/>
            <o:lock v:ext="edit" aspectratio="t"/>
            <w10:wrap type="none"/>
            <w10:anchorlock/>
          </v:shape>
          <o:OLEObject Type="Embed" ProgID="Equation.DSMT4" ShapeID="_x0000_i1040" DrawAspect="Content" ObjectID="_1468075740" r:id="rId76">
            <o:LockedField>false</o:LockedField>
          </o:OLEObject>
        </w:object>
      </w:r>
      <w:r>
        <w:rPr>
          <w:rFonts w:hint="eastAsia"/>
          <w:color w:val="auto"/>
          <w:highlight w:val="none"/>
        </w:rPr>
        <w:t>——计入行进流速的堰上水深，m；</w:t>
      </w:r>
    </w:p>
    <w:p>
      <w:pPr>
        <w:ind w:firstLine="480"/>
        <w:rPr>
          <w:color w:val="auto"/>
          <w:highlight w:val="none"/>
        </w:rPr>
      </w:pPr>
      <w:r>
        <w:rPr>
          <w:color w:val="auto"/>
          <w:highlight w:val="none"/>
        </w:rPr>
        <w:object>
          <v:shape id="_x0000_i1041" o:spt="75" type="#_x0000_t75" style="height:19.5pt;width:12.75pt;" o:ole="t" filled="f" o:preferrelative="t" stroked="f" coordsize="21600,21600">
            <v:path/>
            <v:fill on="f" focussize="0,0"/>
            <v:stroke on="f" joinstyle="miter"/>
            <v:imagedata r:id="rId79" o:title=""/>
            <o:lock v:ext="edit" aspectratio="t"/>
            <w10:wrap type="none"/>
            <w10:anchorlock/>
          </v:shape>
          <o:OLEObject Type="Embed" ProgID="Equation.DSMT4" ShapeID="_x0000_i1041" DrawAspect="Content" ObjectID="_1468075741" r:id="rId78">
            <o:LockedField>false</o:LockedField>
          </o:OLEObject>
        </w:object>
      </w:r>
      <w:r>
        <w:rPr>
          <w:rFonts w:hint="eastAsia"/>
          <w:color w:val="auto"/>
          <w:highlight w:val="none"/>
        </w:rPr>
        <w:t>——闸孔总净宽，m；</w:t>
      </w:r>
    </w:p>
    <w:p>
      <w:pPr>
        <w:ind w:firstLine="480"/>
        <w:rPr>
          <w:color w:val="auto"/>
          <w:highlight w:val="none"/>
        </w:rPr>
      </w:pPr>
      <w:r>
        <w:rPr>
          <w:color w:val="auto"/>
          <w:position w:val="-6"/>
          <w:highlight w:val="none"/>
        </w:rPr>
        <w:object>
          <v:shape id="_x0000_i1042" o:spt="75" type="#_x0000_t75" style="height:12.75pt;width:12.75pt;" o:ole="t" filled="f" o:preferrelative="t" stroked="f" coordsize="21600,21600">
            <v:path/>
            <v:fill on="f" focussize="0,0"/>
            <v:stroke on="f" joinstyle="miter"/>
            <v:imagedata r:id="rId81" o:title=""/>
            <o:lock v:ext="edit" aspectratio="t"/>
            <w10:wrap type="none"/>
            <w10:anchorlock/>
          </v:shape>
          <o:OLEObject Type="Embed" ProgID="Equation.DSMT4" ShapeID="_x0000_i1042" DrawAspect="Content" ObjectID="_1468075742" r:id="rId80">
            <o:LockedField>false</o:LockedField>
          </o:OLEObject>
        </w:object>
      </w:r>
      <w:r>
        <w:rPr>
          <w:rFonts w:hint="eastAsia"/>
          <w:color w:val="auto"/>
          <w:highlight w:val="none"/>
        </w:rPr>
        <w:t>——堰流淹没系数，因</w:t>
      </w:r>
      <w:r>
        <w:rPr>
          <w:rFonts w:hint="eastAsia"/>
          <w:color w:val="auto"/>
          <w:highlight w:val="none"/>
          <w:lang w:eastAsia="zh-CN"/>
        </w:rPr>
        <w:t>泄洪闸</w:t>
      </w:r>
      <w:r>
        <w:rPr>
          <w:rFonts w:hint="eastAsia"/>
          <w:color w:val="auto"/>
          <w:highlight w:val="none"/>
        </w:rPr>
        <w:t>出口均接泄槽，水流状态为非淹没流，淹没系数取1；</w:t>
      </w:r>
    </w:p>
    <w:p>
      <w:pPr>
        <w:ind w:firstLine="480"/>
        <w:rPr>
          <w:color w:val="auto"/>
          <w:highlight w:val="none"/>
        </w:rPr>
      </w:pPr>
      <w:r>
        <w:rPr>
          <w:color w:val="auto"/>
          <w:position w:val="-6"/>
          <w:highlight w:val="none"/>
        </w:rPr>
        <w:object>
          <v:shape id="_x0000_i1043" o:spt="75" type="#_x0000_t75" style="height:12.75pt;width:9pt;" o:ole="t" filled="f" o:preferrelative="t" stroked="f" coordsize="21600,21600">
            <v:path/>
            <v:fill on="f" focussize="0,0"/>
            <v:stroke on="f" joinstyle="miter"/>
            <v:imagedata r:id="rId83" o:title=""/>
            <o:lock v:ext="edit" aspectratio="t"/>
            <w10:wrap type="none"/>
            <w10:anchorlock/>
          </v:shape>
          <o:OLEObject Type="Embed" ProgID="Equation.DSMT4" ShapeID="_x0000_i1043" DrawAspect="Content" ObjectID="_1468075743" r:id="rId82">
            <o:LockedField>false</o:LockedField>
          </o:OLEObject>
        </w:object>
      </w:r>
      <w:r>
        <w:rPr>
          <w:rFonts w:hint="eastAsia"/>
          <w:color w:val="auto"/>
          <w:highlight w:val="none"/>
        </w:rPr>
        <w:t>——堰流侧收缩系数；</w:t>
      </w:r>
    </w:p>
    <w:p>
      <w:pPr>
        <w:ind w:firstLine="480"/>
        <w:rPr>
          <w:color w:val="auto"/>
          <w:highlight w:val="none"/>
        </w:rPr>
      </w:pPr>
      <w:r>
        <w:rPr>
          <w:rFonts w:hint="eastAsia"/>
          <w:color w:val="auto"/>
          <w:highlight w:val="none"/>
        </w:rPr>
        <w:t>m——流量系数，取0.385。</w:t>
      </w:r>
    </w:p>
    <w:p>
      <w:pPr>
        <w:ind w:firstLine="480"/>
        <w:rPr>
          <w:color w:val="auto"/>
          <w:highlight w:val="none"/>
        </w:rPr>
      </w:pPr>
      <w:r>
        <w:rPr>
          <w:rFonts w:hint="eastAsia"/>
          <w:color w:val="auto"/>
          <w:highlight w:val="none"/>
        </w:rPr>
        <w:t>2）下游消能设施计算</w:t>
      </w:r>
    </w:p>
    <w:p>
      <w:pPr>
        <w:ind w:firstLine="480"/>
        <w:rPr>
          <w:color w:val="auto"/>
          <w:highlight w:val="none"/>
        </w:rPr>
      </w:pPr>
      <w:r>
        <w:rPr>
          <w:rFonts w:hint="eastAsia"/>
          <w:color w:val="auto"/>
          <w:highlight w:val="none"/>
        </w:rPr>
        <w:t>结合</w:t>
      </w:r>
      <w:r>
        <w:rPr>
          <w:rFonts w:hint="eastAsia"/>
          <w:color w:val="auto"/>
          <w:highlight w:val="none"/>
          <w:lang w:eastAsia="zh-CN"/>
        </w:rPr>
        <w:t>泄洪闸</w:t>
      </w:r>
      <w:r>
        <w:rPr>
          <w:rFonts w:hint="eastAsia"/>
          <w:color w:val="auto"/>
          <w:highlight w:val="none"/>
        </w:rPr>
        <w:t>实际地形，本次工程采用底流消能形式——消力池消能。本次工程采用面流消能，能满足消能要求。下游消能设施计算仅对</w:t>
      </w:r>
      <w:r>
        <w:rPr>
          <w:rFonts w:hint="eastAsia"/>
          <w:color w:val="auto"/>
          <w:highlight w:val="none"/>
          <w:lang w:eastAsia="zh-CN"/>
        </w:rPr>
        <w:t>泄洪闸</w:t>
      </w:r>
      <w:r>
        <w:rPr>
          <w:rFonts w:hint="eastAsia"/>
          <w:color w:val="auto"/>
          <w:highlight w:val="none"/>
        </w:rPr>
        <w:t>底流消能进行计算。</w:t>
      </w:r>
    </w:p>
    <w:p>
      <w:pPr>
        <w:ind w:firstLine="480"/>
        <w:rPr>
          <w:color w:val="auto"/>
          <w:highlight w:val="none"/>
        </w:rPr>
      </w:pPr>
      <w:r>
        <w:rPr>
          <w:color w:val="auto"/>
          <w:highlight w:val="none"/>
        </w:rPr>
        <w:fldChar w:fldCharType="begin"/>
      </w:r>
      <w:r>
        <w:rPr>
          <w:color w:val="auto"/>
          <w:highlight w:val="none"/>
        </w:rPr>
        <w:instrText xml:space="preserve"> </w:instrText>
      </w:r>
      <w:r>
        <w:rPr>
          <w:rFonts w:hint="eastAsia"/>
          <w:color w:val="auto"/>
          <w:highlight w:val="none"/>
        </w:rPr>
        <w:instrText xml:space="preserve">eq \o\ac(</w:instrText>
      </w:r>
      <w:r>
        <w:rPr>
          <w:rFonts w:hint="eastAsia" w:ascii="宋体"/>
          <w:color w:val="auto"/>
          <w:position w:val="-4"/>
          <w:sz w:val="36"/>
          <w:highlight w:val="none"/>
        </w:rPr>
        <w:instrText xml:space="preserve">○</w:instrText>
      </w:r>
      <w:r>
        <w:rPr>
          <w:rFonts w:hint="eastAsia"/>
          <w:color w:val="auto"/>
          <w:highlight w:val="none"/>
        </w:rPr>
        <w:instrText xml:space="preserve">,1)</w:instrText>
      </w:r>
      <w:r>
        <w:rPr>
          <w:color w:val="auto"/>
          <w:highlight w:val="none"/>
        </w:rPr>
        <w:fldChar w:fldCharType="end"/>
      </w:r>
      <w:r>
        <w:rPr>
          <w:rFonts w:hint="eastAsia"/>
          <w:color w:val="auto"/>
          <w:highlight w:val="none"/>
        </w:rPr>
        <w:t>消力池深度计算</w:t>
      </w:r>
    </w:p>
    <w:p>
      <w:pPr>
        <w:ind w:firstLine="480"/>
        <w:rPr>
          <w:color w:val="auto"/>
          <w:highlight w:val="none"/>
        </w:rPr>
      </w:pPr>
      <w:r>
        <w:rPr>
          <w:rFonts w:hint="eastAsia"/>
          <w:color w:val="auto"/>
          <w:highlight w:val="none"/>
        </w:rPr>
        <w:t>消力池深度采用《水闸设计规范》（SL265-2001）附录B中（B.1.1-1~B.1.1-4）计算。</w:t>
      </w:r>
    </w:p>
    <w:p>
      <w:pPr>
        <w:ind w:firstLine="560"/>
        <w:rPr>
          <w:rFonts w:ascii="宋体" w:hAnsi="宋体"/>
          <w:color w:val="auto"/>
          <w:sz w:val="28"/>
          <w:highlight w:val="none"/>
        </w:rPr>
      </w:pPr>
      <w:r>
        <w:rPr>
          <w:rFonts w:hint="eastAsia" w:ascii="宋体" w:hAnsi="宋体"/>
          <w:color w:val="auto"/>
          <w:sz w:val="28"/>
          <w:highlight w:val="none"/>
        </w:rPr>
        <w:object>
          <v:shape id="_x0000_i1044" o:spt="75" type="#_x0000_t75" style="height:21.75pt;width:99.75pt;" o:ole="t" filled="f" o:preferrelative="t" stroked="f" coordsize="21600,21600">
            <v:path/>
            <v:fill on="f" focussize="0,0"/>
            <v:stroke on="f" joinstyle="miter"/>
            <v:imagedata r:id="rId85" o:title=""/>
            <o:lock v:ext="edit" aspectratio="t"/>
            <w10:wrap type="none"/>
            <w10:anchorlock/>
          </v:shape>
          <o:OLEObject Type="Embed" ProgID="Equation.3" ShapeID="_x0000_i1044" DrawAspect="Content" ObjectID="_1468075744" r:id="rId84">
            <o:LockedField>false</o:LockedField>
          </o:OLEObject>
        </w:object>
      </w:r>
    </w:p>
    <w:p>
      <w:pPr>
        <w:ind w:firstLine="560"/>
        <w:rPr>
          <w:rFonts w:ascii="宋体" w:hAnsi="宋体"/>
          <w:color w:val="auto"/>
          <w:sz w:val="28"/>
          <w:highlight w:val="none"/>
        </w:rPr>
      </w:pPr>
      <w:r>
        <w:rPr>
          <w:rFonts w:hint="eastAsia" w:ascii="宋体" w:hAnsi="宋体"/>
          <w:color w:val="auto"/>
          <w:position w:val="-36"/>
          <w:sz w:val="28"/>
          <w:highlight w:val="none"/>
        </w:rPr>
        <w:object>
          <v:shape id="_x0000_i1045" o:spt="75" type="#_x0000_t75" style="height:40.5pt;width:164.25pt;" o:ole="t" filled="f" o:preferrelative="t" stroked="f" coordsize="21600,21600">
            <v:path/>
            <v:fill on="f" focussize="0,0"/>
            <v:stroke on="f" joinstyle="miter"/>
            <v:imagedata r:id="rId87" o:title=""/>
            <o:lock v:ext="edit" aspectratio="t"/>
            <w10:wrap type="none"/>
            <w10:anchorlock/>
          </v:shape>
          <o:OLEObject Type="Embed" ProgID="Equation.DSMT4" ShapeID="_x0000_i1045" DrawAspect="Content" ObjectID="_1468075745" r:id="rId86">
            <o:LockedField>false</o:LockedField>
          </o:OLEObject>
        </w:object>
      </w:r>
    </w:p>
    <w:p>
      <w:pPr>
        <w:ind w:firstLine="560"/>
        <w:rPr>
          <w:rFonts w:ascii="宋体" w:hAnsi="宋体"/>
          <w:color w:val="auto"/>
          <w:sz w:val="28"/>
          <w:highlight w:val="none"/>
        </w:rPr>
      </w:pPr>
      <w:r>
        <w:rPr>
          <w:rFonts w:hint="eastAsia" w:ascii="宋体" w:hAnsi="宋体"/>
          <w:color w:val="auto"/>
          <w:sz w:val="28"/>
          <w:highlight w:val="none"/>
        </w:rPr>
        <w:object>
          <v:shape id="_x0000_i1046" o:spt="75" type="#_x0000_t75" style="height:36.75pt;width:114pt;" o:ole="t" filled="f" o:preferrelative="t" stroked="f" coordsize="21600,21600">
            <v:path/>
            <v:fill on="f" focussize="0,0"/>
            <v:stroke on="f" joinstyle="miter"/>
            <v:imagedata r:id="rId89" o:title=""/>
            <o:lock v:ext="edit" aspectratio="t"/>
            <w10:wrap type="none"/>
            <w10:anchorlock/>
          </v:shape>
          <o:OLEObject Type="Embed" ProgID="Equation.3" ShapeID="_x0000_i1046" DrawAspect="Content" ObjectID="_1468075746" r:id="rId88">
            <o:LockedField>false</o:LockedField>
          </o:OLEObject>
        </w:object>
      </w:r>
    </w:p>
    <w:p>
      <w:pPr>
        <w:ind w:firstLine="560"/>
        <w:rPr>
          <w:rFonts w:ascii="宋体" w:hAnsi="宋体"/>
          <w:color w:val="auto"/>
          <w:sz w:val="28"/>
          <w:highlight w:val="none"/>
        </w:rPr>
      </w:pPr>
      <w:r>
        <w:rPr>
          <w:rFonts w:hint="eastAsia" w:ascii="宋体" w:hAnsi="宋体"/>
          <w:color w:val="auto"/>
          <w:sz w:val="28"/>
          <w:highlight w:val="none"/>
        </w:rPr>
        <w:object>
          <v:shape id="_x0000_i1047" o:spt="75" type="#_x0000_t75" style="height:40.5pt;width:120pt;" o:ole="t" filled="f" o:preferrelative="t" stroked="f" coordsize="21600,21600">
            <v:path/>
            <v:fill on="f" focussize="0,0"/>
            <v:stroke on="f" joinstyle="miter"/>
            <v:imagedata r:id="rId91" o:title=""/>
            <o:lock v:ext="edit" aspectratio="t"/>
            <w10:wrap type="none"/>
            <w10:anchorlock/>
          </v:shape>
          <o:OLEObject Type="Embed" ProgID="Equation.3" ShapeID="_x0000_i1047" DrawAspect="Content" ObjectID="_1468075747" r:id="rId90">
            <o:LockedField>false</o:LockedField>
          </o:OLEObject>
        </w:object>
      </w:r>
    </w:p>
    <w:p>
      <w:pPr>
        <w:ind w:firstLine="480"/>
        <w:rPr>
          <w:color w:val="auto"/>
          <w:highlight w:val="none"/>
        </w:rPr>
      </w:pPr>
      <w:r>
        <w:rPr>
          <w:rFonts w:hint="eastAsia"/>
          <w:color w:val="auto"/>
          <w:highlight w:val="none"/>
        </w:rPr>
        <w:t>式中：d——消力池深度（m）；</w:t>
      </w:r>
    </w:p>
    <w:p>
      <w:pPr>
        <w:ind w:firstLine="480"/>
        <w:rPr>
          <w:color w:val="auto"/>
          <w:highlight w:val="none"/>
        </w:rPr>
      </w:pPr>
      <w:r>
        <w:rPr>
          <w:rFonts w:hint="eastAsia"/>
          <w:color w:val="auto"/>
          <w:highlight w:val="none"/>
        </w:rPr>
        <w:t>h</w:t>
      </w:r>
      <w:r>
        <w:rPr>
          <w:rFonts w:hint="eastAsia"/>
          <w:color w:val="auto"/>
          <w:highlight w:val="none"/>
          <w:vertAlign w:val="subscript"/>
        </w:rPr>
        <w:t>c</w:t>
      </w:r>
      <w:r>
        <w:rPr>
          <w:rFonts w:hint="eastAsia"/>
          <w:color w:val="auto"/>
          <w:highlight w:val="none"/>
        </w:rPr>
        <w:t>——收缩水深（m）；</w:t>
      </w:r>
    </w:p>
    <w:p>
      <w:pPr>
        <w:ind w:firstLine="480"/>
        <w:rPr>
          <w:color w:val="auto"/>
          <w:highlight w:val="none"/>
        </w:rPr>
      </w:pPr>
      <w:r>
        <w:rPr>
          <w:rFonts w:hint="eastAsia"/>
          <w:color w:val="auto"/>
          <w:highlight w:val="none"/>
        </w:rPr>
        <w:t>T</w:t>
      </w:r>
      <w:r>
        <w:rPr>
          <w:rFonts w:hint="eastAsia"/>
          <w:color w:val="auto"/>
          <w:highlight w:val="none"/>
          <w:vertAlign w:val="subscript"/>
        </w:rPr>
        <w:t>0</w:t>
      </w:r>
      <w:r>
        <w:rPr>
          <w:rFonts w:hint="eastAsia"/>
          <w:color w:val="auto"/>
          <w:highlight w:val="none"/>
        </w:rPr>
        <w:t>——由消力池底板顶面算起的总势能（m）；</w:t>
      </w:r>
    </w:p>
    <w:p>
      <w:pPr>
        <w:ind w:firstLine="480"/>
        <w:rPr>
          <w:color w:val="auto"/>
          <w:highlight w:val="none"/>
        </w:rPr>
      </w:pPr>
      <w:r>
        <w:rPr>
          <w:rFonts w:hint="eastAsia"/>
          <w:color w:val="auto"/>
          <w:highlight w:val="none"/>
        </w:rPr>
        <w:t>q——单宽流量（</w:t>
      </w:r>
      <w:r>
        <w:rPr>
          <w:rFonts w:hint="eastAsia"/>
          <w:color w:val="auto"/>
          <w:highlight w:val="none"/>
          <w:lang w:eastAsia="zh-CN"/>
        </w:rPr>
        <w:t>m³</w:t>
      </w:r>
      <w:r>
        <w:rPr>
          <w:rFonts w:hint="eastAsia"/>
          <w:color w:val="auto"/>
          <w:highlight w:val="none"/>
        </w:rPr>
        <w:t>/s．m），；</w:t>
      </w:r>
    </w:p>
    <w:p>
      <w:pPr>
        <w:ind w:firstLine="480"/>
        <w:rPr>
          <w:color w:val="auto"/>
          <w:highlight w:val="none"/>
        </w:rPr>
      </w:pPr>
      <w:r>
        <w:rPr>
          <w:rFonts w:hint="eastAsia"/>
          <w:color w:val="auto"/>
          <w:highlight w:val="none"/>
        </w:rPr>
        <w:t>α——水流动能校正系数，取1.0；</w:t>
      </w:r>
    </w:p>
    <w:p>
      <w:pPr>
        <w:ind w:firstLine="480"/>
        <w:rPr>
          <w:color w:val="auto"/>
          <w:highlight w:val="none"/>
        </w:rPr>
      </w:pPr>
      <w:r>
        <w:rPr>
          <w:color w:val="auto"/>
          <w:position w:val="-10"/>
          <w:szCs w:val="28"/>
          <w:highlight w:val="none"/>
        </w:rPr>
        <w:object>
          <v:shape id="_x0000_i1048" o:spt="75" type="#_x0000_t75" style="height:12.75pt;width:12.75pt;" o:ole="t" filled="f" o:preferrelative="t" stroked="f" coordsize="21600,21600">
            <v:path/>
            <v:fill on="f" focussize="0,0"/>
            <v:stroke on="f" joinstyle="miter"/>
            <v:imagedata r:id="rId93" o:title=""/>
            <o:lock v:ext="edit" aspectratio="t"/>
            <w10:wrap type="none"/>
            <w10:anchorlock/>
          </v:shape>
          <o:OLEObject Type="Embed" ProgID="Equation.DSMT4" ShapeID="_x0000_i1048" DrawAspect="Content" ObjectID="_1468075748" r:id="rId92">
            <o:LockedField>false</o:LockedField>
          </o:OLEObject>
        </w:object>
      </w:r>
      <w:r>
        <w:rPr>
          <w:rFonts w:hint="eastAsia"/>
          <w:color w:val="auto"/>
          <w:highlight w:val="none"/>
        </w:rPr>
        <w:t>——流速系数，取0.95。</w:t>
      </w:r>
    </w:p>
    <w:p>
      <w:pPr>
        <w:ind w:firstLine="480"/>
        <w:rPr>
          <w:color w:val="auto"/>
          <w:highlight w:val="none"/>
        </w:rPr>
      </w:pPr>
      <w:r>
        <w:rPr>
          <w:rFonts w:hint="eastAsia"/>
          <w:color w:val="auto"/>
          <w:highlight w:val="none"/>
        </w:rPr>
        <w:t>ΔZ——出池落差（m）；</w:t>
      </w:r>
    </w:p>
    <w:p>
      <w:pPr>
        <w:ind w:firstLine="480"/>
        <w:rPr>
          <w:color w:val="auto"/>
          <w:highlight w:val="none"/>
        </w:rPr>
      </w:pPr>
      <w:r>
        <w:rPr>
          <w:rFonts w:hint="eastAsia"/>
          <w:color w:val="auto"/>
          <w:highlight w:val="none"/>
        </w:rPr>
        <w:t>hs</w:t>
      </w:r>
      <w:r>
        <w:rPr>
          <w:rFonts w:hint="eastAsia"/>
          <w:color w:val="auto"/>
          <w:highlight w:val="none"/>
          <w:vertAlign w:val="superscript"/>
        </w:rPr>
        <w:t>’</w:t>
      </w:r>
      <w:r>
        <w:rPr>
          <w:rFonts w:hint="eastAsia"/>
          <w:color w:val="auto"/>
          <w:highlight w:val="none"/>
        </w:rPr>
        <w:t>——出池河床水深（m）</w:t>
      </w:r>
    </w:p>
    <w:p>
      <w:pPr>
        <w:ind w:firstLine="480"/>
        <w:rPr>
          <w:color w:val="auto"/>
          <w:highlight w:val="none"/>
        </w:rPr>
      </w:pPr>
      <w:r>
        <w:rPr>
          <w:color w:val="auto"/>
          <w:position w:val="-12"/>
          <w:szCs w:val="28"/>
          <w:highlight w:val="none"/>
        </w:rPr>
        <w:object>
          <v:shape id="_x0000_i1049" o:spt="75" type="#_x0000_t75" style="height:19.5pt;width:12.75pt;" o:ole="t" filled="f" o:preferrelative="t" stroked="f" coordsize="21600,21600">
            <v:path/>
            <v:fill on="f" focussize="0,0"/>
            <v:stroke on="f" joinstyle="miter"/>
            <v:imagedata r:id="rId95" o:title=""/>
            <o:lock v:ext="edit" aspectratio="t"/>
            <w10:wrap type="none"/>
            <w10:anchorlock/>
          </v:shape>
          <o:OLEObject Type="Embed" ProgID="Equation.DSMT4" ShapeID="_x0000_i1049" DrawAspect="Content" ObjectID="_1468075749" r:id="rId94">
            <o:LockedField>false</o:LockedField>
          </o:OLEObject>
        </w:object>
      </w:r>
      <w:r>
        <w:rPr>
          <w:rFonts w:hint="eastAsia"/>
          <w:color w:val="auto"/>
          <w:highlight w:val="none"/>
        </w:rPr>
        <w:t>——消力池首端宽度（m）；</w:t>
      </w:r>
    </w:p>
    <w:p>
      <w:pPr>
        <w:ind w:firstLine="480"/>
        <w:rPr>
          <w:color w:val="auto"/>
          <w:highlight w:val="none"/>
        </w:rPr>
      </w:pPr>
      <w:r>
        <w:rPr>
          <w:color w:val="auto"/>
          <w:position w:val="-12"/>
          <w:szCs w:val="28"/>
          <w:highlight w:val="none"/>
        </w:rPr>
        <w:object>
          <v:shape id="_x0000_i1050" o:spt="75" type="#_x0000_t75" style="height:19.5pt;width:12.75pt;" o:ole="t" filled="f" o:preferrelative="t" stroked="f" coordsize="21600,21600">
            <v:path/>
            <v:fill on="f" focussize="0,0"/>
            <v:stroke on="f" joinstyle="miter"/>
            <v:imagedata r:id="rId97" o:title=""/>
            <o:lock v:ext="edit" aspectratio="t"/>
            <w10:wrap type="none"/>
            <w10:anchorlock/>
          </v:shape>
          <o:OLEObject Type="Embed" ProgID="Equation.DSMT4" ShapeID="_x0000_i1050" DrawAspect="Content" ObjectID="_1468075750" r:id="rId96">
            <o:LockedField>false</o:LockedField>
          </o:OLEObject>
        </w:object>
      </w:r>
      <w:r>
        <w:rPr>
          <w:rFonts w:hint="eastAsia"/>
          <w:color w:val="auto"/>
          <w:highlight w:val="none"/>
        </w:rPr>
        <w:t>——消力池末端宽度（m）。</w:t>
      </w:r>
    </w:p>
    <w:p>
      <w:pPr>
        <w:ind w:firstLine="480"/>
        <w:rPr>
          <w:color w:val="auto"/>
          <w:highlight w:val="none"/>
        </w:rPr>
      </w:pPr>
      <w:r>
        <w:rPr>
          <w:color w:val="auto"/>
          <w:highlight w:val="none"/>
        </w:rPr>
        <w:fldChar w:fldCharType="begin"/>
      </w:r>
      <w:r>
        <w:rPr>
          <w:color w:val="auto"/>
          <w:highlight w:val="none"/>
        </w:rPr>
        <w:instrText xml:space="preserve"> </w:instrText>
      </w:r>
      <w:r>
        <w:rPr>
          <w:rFonts w:hint="eastAsia"/>
          <w:color w:val="auto"/>
          <w:highlight w:val="none"/>
        </w:rPr>
        <w:instrText xml:space="preserve">eq \o\ac(</w:instrText>
      </w:r>
      <w:r>
        <w:rPr>
          <w:rFonts w:hint="eastAsia" w:ascii="宋体"/>
          <w:color w:val="auto"/>
          <w:position w:val="-4"/>
          <w:sz w:val="36"/>
          <w:highlight w:val="none"/>
        </w:rPr>
        <w:instrText xml:space="preserve">○</w:instrText>
      </w:r>
      <w:r>
        <w:rPr>
          <w:rFonts w:hint="eastAsia"/>
          <w:color w:val="auto"/>
          <w:highlight w:val="none"/>
        </w:rPr>
        <w:instrText xml:space="preserve">,2)</w:instrText>
      </w:r>
      <w:r>
        <w:rPr>
          <w:color w:val="auto"/>
          <w:highlight w:val="none"/>
        </w:rPr>
        <w:fldChar w:fldCharType="end"/>
      </w:r>
      <w:r>
        <w:rPr>
          <w:rFonts w:hint="eastAsia"/>
          <w:color w:val="auto"/>
          <w:highlight w:val="none"/>
        </w:rPr>
        <w:t>）消力池长度计算</w:t>
      </w:r>
    </w:p>
    <w:p>
      <w:pPr>
        <w:ind w:firstLine="480"/>
        <w:rPr>
          <w:color w:val="auto"/>
          <w:highlight w:val="none"/>
        </w:rPr>
      </w:pPr>
      <w:r>
        <w:rPr>
          <w:rFonts w:hint="eastAsia"/>
          <w:color w:val="auto"/>
          <w:highlight w:val="none"/>
        </w:rPr>
        <w:t>消力池长度根据《水闸设计规范》（SL265-2001）附录B中（B.1.2-1~B.1.2-2）计算。</w:t>
      </w:r>
    </w:p>
    <w:p>
      <w:pPr>
        <w:ind w:firstLine="560"/>
        <w:rPr>
          <w:rFonts w:ascii="宋体" w:hAnsi="宋体"/>
          <w:color w:val="auto"/>
          <w:sz w:val="28"/>
          <w:highlight w:val="none"/>
        </w:rPr>
      </w:pPr>
      <w:r>
        <w:rPr>
          <w:rFonts w:hint="eastAsia" w:ascii="宋体" w:hAnsi="宋体"/>
          <w:color w:val="auto"/>
          <w:position w:val="-14"/>
          <w:sz w:val="28"/>
          <w:highlight w:val="none"/>
        </w:rPr>
        <w:object>
          <v:shape id="_x0000_i1051" o:spt="75" type="#_x0000_t75" style="height:19.5pt;width:66.75pt;" o:ole="t" filled="f" o:preferrelative="t" stroked="f" coordsize="21600,21600">
            <v:path/>
            <v:fill on="f" focussize="0,0"/>
            <v:stroke on="f" joinstyle="miter"/>
            <v:imagedata r:id="rId99" o:title=""/>
            <o:lock v:ext="edit" aspectratio="t"/>
            <w10:wrap type="none"/>
            <w10:anchorlock/>
          </v:shape>
          <o:OLEObject Type="Embed" ProgID="Equation.DSMT4" ShapeID="_x0000_i1051" DrawAspect="Content" ObjectID="_1468075751" r:id="rId98">
            <o:LockedField>false</o:LockedField>
          </o:OLEObject>
        </w:object>
      </w:r>
    </w:p>
    <w:p>
      <w:pPr>
        <w:ind w:firstLine="560"/>
        <w:rPr>
          <w:rFonts w:ascii="宋体" w:hAnsi="宋体"/>
          <w:color w:val="auto"/>
          <w:sz w:val="28"/>
          <w:highlight w:val="none"/>
        </w:rPr>
      </w:pPr>
      <w:r>
        <w:rPr>
          <w:rFonts w:hint="eastAsia" w:ascii="宋体" w:hAnsi="宋体"/>
          <w:color w:val="auto"/>
          <w:sz w:val="28"/>
          <w:highlight w:val="none"/>
        </w:rPr>
        <w:object>
          <v:shape id="_x0000_i1052" o:spt="75" type="#_x0000_t75" style="height:21.75pt;width:84.75pt;" o:ole="t" filled="f" o:preferrelative="t" stroked="f" coordsize="21600,21600">
            <v:path/>
            <v:fill on="f" focussize="0,0"/>
            <v:stroke on="f" joinstyle="miter"/>
            <v:imagedata r:id="rId101" o:title=""/>
            <o:lock v:ext="edit" aspectratio="t"/>
            <w10:wrap type="none"/>
            <w10:anchorlock/>
          </v:shape>
          <o:OLEObject Type="Embed" ProgID="Equation.3" ShapeID="_x0000_i1052" DrawAspect="Content" ObjectID="_1468075752" r:id="rId100">
            <o:LockedField>false</o:LockedField>
          </o:OLEObject>
        </w:object>
      </w:r>
    </w:p>
    <w:p>
      <w:pPr>
        <w:ind w:firstLine="480"/>
        <w:rPr>
          <w:rStyle w:val="294"/>
          <w:color w:val="auto"/>
          <w:highlight w:val="none"/>
        </w:rPr>
      </w:pPr>
      <w:r>
        <w:rPr>
          <w:rStyle w:val="294"/>
          <w:rFonts w:hint="eastAsia"/>
          <w:color w:val="auto"/>
          <w:highlight w:val="none"/>
        </w:rPr>
        <w:t>式中：</w:t>
      </w:r>
      <w:r>
        <w:rPr>
          <w:rFonts w:ascii="宋体" w:hAnsi="宋体"/>
          <w:color w:val="auto"/>
          <w:position w:val="-14"/>
          <w:sz w:val="28"/>
          <w:szCs w:val="28"/>
          <w:highlight w:val="none"/>
        </w:rPr>
        <w:object>
          <v:shape id="_x0000_i1053" o:spt="75" type="#_x0000_t75" style="height:19.5pt;width:12.75pt;" o:ole="t" filled="f" o:preferrelative="t" stroked="f" coordsize="21600,21600">
            <v:path/>
            <v:fill on="f" focussize="0,0"/>
            <v:stroke on="f" joinstyle="miter"/>
            <v:imagedata r:id="rId103" o:title=""/>
            <o:lock v:ext="edit" aspectratio="t"/>
            <w10:wrap type="none"/>
            <w10:anchorlock/>
          </v:shape>
          <o:OLEObject Type="Embed" ProgID="Equation.DSMT4" ShapeID="_x0000_i1053" DrawAspect="Content" ObjectID="_1468075753" r:id="rId102">
            <o:LockedField>false</o:LockedField>
          </o:OLEObject>
        </w:object>
      </w:r>
      <w:r>
        <w:rPr>
          <w:rStyle w:val="294"/>
          <w:rFonts w:hint="eastAsia"/>
          <w:color w:val="auto"/>
          <w:highlight w:val="none"/>
        </w:rPr>
        <w:t>——消力池长度（m）；</w:t>
      </w:r>
    </w:p>
    <w:p>
      <w:pPr>
        <w:ind w:firstLine="480"/>
        <w:rPr>
          <w:color w:val="auto"/>
          <w:highlight w:val="none"/>
        </w:rPr>
      </w:pPr>
      <w:r>
        <w:rPr>
          <w:color w:val="auto"/>
          <w:highlight w:val="none"/>
        </w:rPr>
        <w:object>
          <v:shape id="_x0000_i1054" o:spt="75" type="#_x0000_t75" style="height:19.5pt;width:12.75pt;" o:ole="t" filled="f" o:preferrelative="t" stroked="f" coordsize="21600,21600">
            <v:path/>
            <v:fill on="f" focussize="0,0"/>
            <v:stroke on="f" joinstyle="miter"/>
            <v:imagedata r:id="rId105" o:title=""/>
            <o:lock v:ext="edit" aspectratio="t"/>
            <w10:wrap type="none"/>
            <w10:anchorlock/>
          </v:shape>
          <o:OLEObject Type="Embed" ProgID="Equation.DSMT4" ShapeID="_x0000_i1054" DrawAspect="Content" ObjectID="_1468075754" r:id="rId104">
            <o:LockedField>false</o:LockedField>
          </o:OLEObject>
        </w:object>
      </w:r>
      <w:r>
        <w:rPr>
          <w:rFonts w:hint="eastAsia"/>
          <w:color w:val="auto"/>
          <w:highlight w:val="none"/>
        </w:rPr>
        <w:t>——水跃长度（m）；</w:t>
      </w:r>
    </w:p>
    <w:p>
      <w:pPr>
        <w:ind w:firstLine="480"/>
        <w:rPr>
          <w:color w:val="auto"/>
          <w:highlight w:val="none"/>
        </w:rPr>
      </w:pPr>
      <w:r>
        <w:rPr>
          <w:color w:val="auto"/>
          <w:position w:val="-10"/>
          <w:highlight w:val="none"/>
        </w:rPr>
        <w:object>
          <v:shape id="_x0000_i1055" o:spt="75" type="#_x0000_t75" style="height:12.75pt;width:12.75pt;" o:ole="t" filled="f" o:preferrelative="t" stroked="f" coordsize="21600,21600">
            <v:path/>
            <v:fill on="f" focussize="0,0"/>
            <v:stroke on="f" joinstyle="miter"/>
            <v:imagedata r:id="rId107" o:title=""/>
            <o:lock v:ext="edit" aspectratio="t"/>
            <w10:wrap type="none"/>
            <w10:anchorlock/>
          </v:shape>
          <o:OLEObject Type="Embed" ProgID="Equation.DSMT4" ShapeID="_x0000_i1055" DrawAspect="Content" ObjectID="_1468075755" r:id="rId106">
            <o:LockedField>false</o:LockedField>
          </o:OLEObject>
        </w:object>
      </w:r>
      <w:r>
        <w:rPr>
          <w:rFonts w:hint="eastAsia"/>
          <w:color w:val="auto"/>
          <w:highlight w:val="none"/>
        </w:rPr>
        <w:t>——水跃长度校正系数，可采用0.7~0.8；</w:t>
      </w:r>
    </w:p>
    <w:p>
      <w:pPr>
        <w:ind w:firstLine="480"/>
        <w:rPr>
          <w:color w:val="auto"/>
          <w:highlight w:val="none"/>
        </w:rPr>
      </w:pPr>
      <w:r>
        <w:rPr>
          <w:color w:val="auto"/>
          <w:position w:val="-10"/>
          <w:highlight w:val="none"/>
        </w:rPr>
        <w:object>
          <v:shape id="_x0000_i1056" o:spt="75" type="#_x0000_t75" style="height:12.75pt;width:12.75pt;" o:ole="t" filled="f" o:preferrelative="t" stroked="f" coordsize="21600,21600">
            <v:path/>
            <v:fill on="f" focussize="0,0"/>
            <v:stroke on="f" joinstyle="miter"/>
            <v:imagedata r:id="rId107" o:title=""/>
            <o:lock v:ext="edit" aspectratio="t"/>
            <w10:wrap type="none"/>
            <w10:anchorlock/>
          </v:shape>
          <o:OLEObject Type="Embed" ProgID="Equation.DSMT4" ShapeID="_x0000_i1056" DrawAspect="Content" ObjectID="_1468075756" r:id="rId108">
            <o:LockedField>false</o:LockedField>
          </o:OLEObject>
        </w:object>
      </w:r>
      <w:r>
        <w:rPr>
          <w:rFonts w:hint="eastAsia"/>
          <w:color w:val="auto"/>
          <w:highlight w:val="none"/>
        </w:rPr>
        <w:t>——水跃长度校正系数，可采用0.7~0.8；</w:t>
      </w:r>
    </w:p>
    <w:p>
      <w:pPr>
        <w:ind w:firstLine="480"/>
        <w:rPr>
          <w:color w:val="auto"/>
          <w:highlight w:val="none"/>
        </w:rPr>
      </w:pPr>
      <w:r>
        <w:rPr>
          <w:color w:val="auto"/>
          <w:position w:val="-12"/>
          <w:highlight w:val="none"/>
        </w:rPr>
        <w:object>
          <v:shape id="_x0000_i1057" o:spt="75" type="#_x0000_t75" style="height:19.5pt;width:12.75pt;" o:ole="t" filled="f" o:preferrelative="t" stroked="f" coordsize="21600,21600">
            <v:path/>
            <v:fill on="f" focussize="0,0"/>
            <v:stroke on="f" joinstyle="miter"/>
            <v:imagedata r:id="rId110" o:title=""/>
            <o:lock v:ext="edit" aspectratio="t"/>
            <w10:wrap type="none"/>
            <w10:anchorlock/>
          </v:shape>
          <o:OLEObject Type="Embed" ProgID="Equation.DSMT4" ShapeID="_x0000_i1057" DrawAspect="Content" ObjectID="_1468075757" r:id="rId109">
            <o:LockedField>false</o:LockedField>
          </o:OLEObject>
        </w:object>
      </w:r>
      <w:r>
        <w:rPr>
          <w:rFonts w:hint="eastAsia"/>
          <w:color w:val="auto"/>
          <w:highlight w:val="none"/>
        </w:rPr>
        <w:t>——消力池斜坡段水平投影程度（m）；</w:t>
      </w:r>
    </w:p>
    <w:p>
      <w:pPr>
        <w:ind w:firstLine="480"/>
        <w:rPr>
          <w:color w:val="auto"/>
          <w:highlight w:val="none"/>
        </w:rPr>
      </w:pPr>
      <w:r>
        <w:rPr>
          <w:color w:val="auto"/>
          <w:highlight w:val="none"/>
        </w:rPr>
        <w:fldChar w:fldCharType="begin"/>
      </w:r>
      <w:r>
        <w:rPr>
          <w:color w:val="auto"/>
          <w:highlight w:val="none"/>
        </w:rPr>
        <w:instrText xml:space="preserve"> </w:instrText>
      </w:r>
      <w:r>
        <w:rPr>
          <w:rFonts w:hint="eastAsia"/>
          <w:color w:val="auto"/>
          <w:highlight w:val="none"/>
        </w:rPr>
        <w:instrText xml:space="preserve">eq \o\ac(○,</w:instrText>
      </w:r>
      <w:r>
        <w:rPr>
          <w:rFonts w:hint="eastAsia"/>
          <w:color w:val="auto"/>
          <w:position w:val="3"/>
          <w:sz w:val="16"/>
          <w:highlight w:val="none"/>
        </w:rPr>
        <w:instrText xml:space="preserve">3</w:instrText>
      </w:r>
      <w:r>
        <w:rPr>
          <w:rFonts w:hint="eastAsia"/>
          <w:color w:val="auto"/>
          <w:highlight w:val="none"/>
        </w:rPr>
        <w:instrText xml:space="preserve">)</w:instrText>
      </w:r>
      <w:r>
        <w:rPr>
          <w:color w:val="auto"/>
          <w:highlight w:val="none"/>
        </w:rPr>
        <w:fldChar w:fldCharType="end"/>
      </w:r>
      <w:r>
        <w:rPr>
          <w:rFonts w:hint="eastAsia"/>
          <w:color w:val="auto"/>
          <w:highlight w:val="none"/>
        </w:rPr>
        <w:t>）消力池底板厚度计算</w:t>
      </w:r>
    </w:p>
    <w:p>
      <w:pPr>
        <w:ind w:firstLine="480"/>
        <w:rPr>
          <w:color w:val="auto"/>
          <w:highlight w:val="none"/>
        </w:rPr>
      </w:pPr>
      <w:r>
        <w:rPr>
          <w:rFonts w:hint="eastAsia"/>
          <w:color w:val="auto"/>
          <w:highlight w:val="none"/>
        </w:rPr>
        <w:t>消力池底板厚度根据《水闸设计规范》（SL265-2001）附录B中（B.1.3）计算。</w:t>
      </w:r>
    </w:p>
    <w:p>
      <w:pPr>
        <w:ind w:firstLine="480"/>
        <w:rPr>
          <w:color w:val="auto"/>
          <w:highlight w:val="none"/>
        </w:rPr>
      </w:pPr>
      <w:r>
        <w:rPr>
          <w:rStyle w:val="294"/>
          <w:rFonts w:hint="eastAsia"/>
          <w:color w:val="auto"/>
          <w:highlight w:val="none"/>
        </w:rPr>
        <w:t>根据抗冲刷要求：</w:t>
      </w:r>
      <w:r>
        <w:rPr>
          <w:color w:val="auto"/>
          <w:position w:val="-12"/>
          <w:highlight w:val="none"/>
        </w:rPr>
        <w:object>
          <v:shape id="_x0000_i1058" o:spt="75" type="#_x0000_t75" style="height:24pt;width:77.25pt;" o:ole="t" filled="f" o:preferrelative="t" stroked="f" coordsize="21600,21600">
            <v:path/>
            <v:fill on="f" focussize="0,0"/>
            <v:stroke on="f" joinstyle="miter"/>
            <v:imagedata r:id="rId112" o:title=""/>
            <o:lock v:ext="edit" aspectratio="t"/>
            <w10:wrap type="none"/>
            <w10:anchorlock/>
          </v:shape>
          <o:OLEObject Type="Embed" ProgID="Equation.DSMT4" ShapeID="_x0000_i1058" DrawAspect="Content" ObjectID="_1468075758" r:id="rId111">
            <o:LockedField>false</o:LockedField>
          </o:OLEObject>
        </w:object>
      </w:r>
    </w:p>
    <w:p>
      <w:pPr>
        <w:ind w:firstLine="480"/>
        <w:rPr>
          <w:color w:val="auto"/>
          <w:sz w:val="28"/>
          <w:szCs w:val="28"/>
          <w:highlight w:val="none"/>
        </w:rPr>
      </w:pPr>
      <w:r>
        <w:rPr>
          <w:rStyle w:val="294"/>
          <w:rFonts w:hint="eastAsia"/>
          <w:color w:val="auto"/>
          <w:highlight w:val="none"/>
        </w:rPr>
        <w:t>根据抗浮要求：</w:t>
      </w:r>
      <w:r>
        <w:rPr>
          <w:color w:val="auto"/>
          <w:position w:val="-30"/>
          <w:highlight w:val="none"/>
        </w:rPr>
        <w:object>
          <v:shape id="_x0000_i1059" o:spt="75" type="#_x0000_t75" style="height:35.25pt;width:84.75pt;" o:ole="t" filled="f" o:preferrelative="t" stroked="f" coordsize="21600,21600">
            <v:path/>
            <v:fill on="f" focussize="0,0"/>
            <v:stroke on="f" joinstyle="miter"/>
            <v:imagedata r:id="rId114" o:title=""/>
            <o:lock v:ext="edit" aspectratio="t"/>
            <w10:wrap type="none"/>
            <w10:anchorlock/>
          </v:shape>
          <o:OLEObject Type="Embed" ProgID="Equation.DSMT4" ShapeID="_x0000_i1059" DrawAspect="Content" ObjectID="_1468075759" r:id="rId113">
            <o:LockedField>false</o:LockedField>
          </o:OLEObject>
        </w:object>
      </w:r>
    </w:p>
    <w:p>
      <w:pPr>
        <w:ind w:firstLine="480"/>
        <w:rPr>
          <w:rStyle w:val="294"/>
          <w:rFonts w:ascii="Times New Roman" w:hAnsi="Times New Roman" w:cs="Times New Roman"/>
          <w:color w:val="auto"/>
          <w:highlight w:val="none"/>
        </w:rPr>
      </w:pPr>
      <w:r>
        <w:rPr>
          <w:rStyle w:val="294"/>
          <w:rFonts w:ascii="Times New Roman" w:hAnsi="Times New Roman" w:cs="Times New Roman"/>
          <w:color w:val="auto"/>
          <w:highlight w:val="none"/>
        </w:rPr>
        <w:t xml:space="preserve">式中： </w:t>
      </w:r>
      <w:r>
        <w:rPr>
          <w:color w:val="auto"/>
          <w:highlight w:val="none"/>
        </w:rPr>
        <w:object>
          <v:shape id="_x0000_i1060" o:spt="75" type="#_x0000_t75" style="height:12.75pt;width:24pt;" o:ole="t" filled="f" o:preferrelative="t" stroked="f" coordsize="21600,21600">
            <v:path/>
            <v:fill on="f" focussize="0,0"/>
            <v:stroke on="f" joinstyle="miter"/>
            <v:imagedata r:id="rId116" o:title=""/>
            <o:lock v:ext="edit" aspectratio="t"/>
            <w10:wrap type="none"/>
            <w10:anchorlock/>
          </v:shape>
          <o:OLEObject Type="Embed" ProgID="Equation.DSMT4" ShapeID="_x0000_i1060" DrawAspect="Content" ObjectID="_1468075760" r:id="rId115">
            <o:LockedField>false</o:LockedField>
          </o:OLEObject>
        </w:object>
      </w:r>
      <w:r>
        <w:rPr>
          <w:color w:val="auto"/>
          <w:sz w:val="28"/>
          <w:highlight w:val="none"/>
        </w:rPr>
        <w:t>——</w:t>
      </w:r>
      <w:r>
        <w:rPr>
          <w:rStyle w:val="294"/>
          <w:rFonts w:ascii="Times New Roman" w:hAnsi="Times New Roman" w:cs="Times New Roman"/>
          <w:color w:val="auto"/>
          <w:highlight w:val="none"/>
        </w:rPr>
        <w:t>闸孔泄水时的上下游水位差（m）；</w:t>
      </w:r>
    </w:p>
    <w:p>
      <w:pPr>
        <w:ind w:firstLine="560"/>
        <w:rPr>
          <w:rStyle w:val="294"/>
          <w:rFonts w:ascii="Times New Roman" w:hAnsi="Times New Roman" w:cs="Times New Roman"/>
          <w:color w:val="auto"/>
          <w:highlight w:val="none"/>
        </w:rPr>
      </w:pPr>
      <w:r>
        <w:rPr>
          <w:color w:val="auto"/>
          <w:position w:val="-12"/>
          <w:sz w:val="28"/>
          <w:szCs w:val="28"/>
          <w:highlight w:val="none"/>
        </w:rPr>
        <w:object>
          <v:shape id="_x0000_i1061" o:spt="75" type="#_x0000_t75" style="height:19.5pt;width:12.75pt;" o:ole="t" filled="f" o:preferrelative="t" stroked="f" coordsize="21600,21600">
            <v:path/>
            <v:fill on="f" focussize="0,0"/>
            <v:stroke on="f" joinstyle="miter"/>
            <v:imagedata r:id="rId118" o:title=""/>
            <o:lock v:ext="edit" aspectratio="t"/>
            <w10:wrap type="none"/>
            <w10:anchorlock/>
          </v:shape>
          <o:OLEObject Type="Embed" ProgID="Equation.DSMT4" ShapeID="_x0000_i1061" DrawAspect="Content" ObjectID="_1468075761" r:id="rId117">
            <o:LockedField>false</o:LockedField>
          </o:OLEObject>
        </w:object>
      </w:r>
      <w:r>
        <w:rPr>
          <w:color w:val="auto"/>
          <w:sz w:val="28"/>
          <w:highlight w:val="none"/>
        </w:rPr>
        <w:t>——</w:t>
      </w:r>
      <w:r>
        <w:rPr>
          <w:rStyle w:val="294"/>
          <w:rFonts w:ascii="Times New Roman" w:hAnsi="Times New Roman" w:cs="Times New Roman"/>
          <w:color w:val="auto"/>
          <w:highlight w:val="none"/>
        </w:rPr>
        <w:t>消力池底板计算系数，0.2；</w:t>
      </w:r>
    </w:p>
    <w:p>
      <w:pPr>
        <w:ind w:firstLine="560"/>
        <w:rPr>
          <w:rStyle w:val="294"/>
          <w:rFonts w:ascii="Times New Roman" w:hAnsi="Times New Roman" w:cs="Times New Roman"/>
          <w:color w:val="auto"/>
          <w:highlight w:val="none"/>
        </w:rPr>
      </w:pPr>
      <w:r>
        <w:rPr>
          <w:color w:val="auto"/>
          <w:position w:val="-12"/>
          <w:sz w:val="28"/>
          <w:szCs w:val="28"/>
          <w:highlight w:val="none"/>
        </w:rPr>
        <w:object>
          <v:shape id="_x0000_i1062" o:spt="75" type="#_x0000_t75" style="height:19.5pt;width:12.75pt;" o:ole="t" filled="f" o:preferrelative="t" stroked="f" coordsize="21600,21600">
            <v:path/>
            <v:fill on="f" focussize="0,0"/>
            <v:stroke on="f" joinstyle="miter"/>
            <v:imagedata r:id="rId120" o:title=""/>
            <o:lock v:ext="edit" aspectratio="t"/>
            <w10:wrap type="none"/>
            <w10:anchorlock/>
          </v:shape>
          <o:OLEObject Type="Embed" ProgID="Equation.DSMT4" ShapeID="_x0000_i1062" DrawAspect="Content" ObjectID="_1468075762" r:id="rId119">
            <o:LockedField>false</o:LockedField>
          </o:OLEObject>
        </w:object>
      </w:r>
      <w:r>
        <w:rPr>
          <w:color w:val="auto"/>
          <w:sz w:val="28"/>
          <w:highlight w:val="none"/>
        </w:rPr>
        <w:t>—</w:t>
      </w:r>
      <w:r>
        <w:rPr>
          <w:rStyle w:val="294"/>
          <w:rFonts w:ascii="Times New Roman" w:hAnsi="Times New Roman" w:cs="Times New Roman"/>
          <w:color w:val="auto"/>
          <w:highlight w:val="none"/>
        </w:rPr>
        <w:t>—消力池底板安全系数，1.3；</w:t>
      </w:r>
    </w:p>
    <w:p>
      <w:pPr>
        <w:ind w:firstLine="560"/>
        <w:rPr>
          <w:rStyle w:val="294"/>
          <w:rFonts w:ascii="Times New Roman" w:hAnsi="Times New Roman" w:cs="Times New Roman"/>
          <w:color w:val="auto"/>
          <w:highlight w:val="none"/>
        </w:rPr>
      </w:pPr>
      <w:r>
        <w:rPr>
          <w:color w:val="auto"/>
          <w:sz w:val="28"/>
          <w:highlight w:val="none"/>
        </w:rPr>
        <w:t>U——</w:t>
      </w:r>
      <w:r>
        <w:rPr>
          <w:rStyle w:val="294"/>
          <w:rFonts w:ascii="Times New Roman" w:hAnsi="Times New Roman" w:cs="Times New Roman"/>
          <w:color w:val="auto"/>
          <w:highlight w:val="none"/>
        </w:rPr>
        <w:t>作用在消力池底板底面的扬压力（kPa）；</w:t>
      </w:r>
    </w:p>
    <w:p>
      <w:pPr>
        <w:ind w:firstLine="560"/>
        <w:rPr>
          <w:rStyle w:val="294"/>
          <w:rFonts w:ascii="Times New Roman" w:hAnsi="Times New Roman" w:cs="Times New Roman"/>
          <w:color w:val="auto"/>
          <w:highlight w:val="none"/>
        </w:rPr>
      </w:pPr>
      <w:r>
        <w:rPr>
          <w:color w:val="auto"/>
          <w:sz w:val="28"/>
          <w:highlight w:val="none"/>
        </w:rPr>
        <w:t>W——</w:t>
      </w:r>
      <w:r>
        <w:rPr>
          <w:rStyle w:val="294"/>
          <w:rFonts w:ascii="Times New Roman" w:hAnsi="Times New Roman" w:cs="Times New Roman"/>
          <w:color w:val="auto"/>
          <w:highlight w:val="none"/>
        </w:rPr>
        <w:t>作用在消力池底板顶面的水重（kPa）；</w:t>
      </w:r>
    </w:p>
    <w:p>
      <w:pPr>
        <w:ind w:firstLine="560"/>
        <w:rPr>
          <w:rStyle w:val="294"/>
          <w:rFonts w:ascii="Times New Roman" w:hAnsi="Times New Roman" w:cs="Times New Roman"/>
          <w:color w:val="auto"/>
          <w:highlight w:val="none"/>
        </w:rPr>
      </w:pPr>
      <w:r>
        <w:rPr>
          <w:color w:val="auto"/>
          <w:position w:val="-12"/>
          <w:sz w:val="28"/>
          <w:szCs w:val="28"/>
          <w:highlight w:val="none"/>
        </w:rPr>
        <w:object>
          <v:shape id="_x0000_i1063" o:spt="75" type="#_x0000_t75" style="height:19.5pt;width:12.75pt;" o:ole="t" filled="f" o:preferrelative="t" stroked="f" coordsize="21600,21600">
            <v:path/>
            <v:fill on="f" focussize="0,0"/>
            <v:stroke on="f" joinstyle="miter"/>
            <v:imagedata r:id="rId122" o:title=""/>
            <o:lock v:ext="edit" aspectratio="t"/>
            <w10:wrap type="none"/>
            <w10:anchorlock/>
          </v:shape>
          <o:OLEObject Type="Embed" ProgID="Equation.DSMT4" ShapeID="_x0000_i1063" DrawAspect="Content" ObjectID="_1468075763" r:id="rId121">
            <o:LockedField>false</o:LockedField>
          </o:OLEObject>
        </w:object>
      </w:r>
      <w:r>
        <w:rPr>
          <w:color w:val="auto"/>
          <w:sz w:val="28"/>
          <w:highlight w:val="none"/>
        </w:rPr>
        <w:t>——</w:t>
      </w:r>
      <w:r>
        <w:rPr>
          <w:rStyle w:val="294"/>
          <w:rFonts w:ascii="Times New Roman" w:hAnsi="Times New Roman" w:cs="Times New Roman"/>
          <w:color w:val="auto"/>
          <w:highlight w:val="none"/>
        </w:rPr>
        <w:t>作用在消力池底板的脉动压力（kPa）；</w:t>
      </w:r>
    </w:p>
    <w:p>
      <w:pPr>
        <w:ind w:firstLine="560"/>
        <w:rPr>
          <w:rStyle w:val="294"/>
          <w:rFonts w:ascii="Times New Roman" w:hAnsi="Times New Roman" w:cs="Times New Roman"/>
          <w:color w:val="auto"/>
          <w:highlight w:val="none"/>
        </w:rPr>
      </w:pPr>
      <w:r>
        <w:rPr>
          <w:color w:val="auto"/>
          <w:position w:val="-12"/>
          <w:sz w:val="28"/>
          <w:szCs w:val="28"/>
          <w:highlight w:val="none"/>
        </w:rPr>
        <w:object>
          <v:shape id="_x0000_i1064" o:spt="75" type="#_x0000_t75" style="height:19.5pt;width:12.75pt;" o:ole="t" filled="f" o:preferrelative="t" stroked="f" coordsize="21600,21600">
            <v:path/>
            <v:fill on="f" focussize="0,0"/>
            <v:stroke on="f" joinstyle="miter"/>
            <v:imagedata r:id="rId124" o:title=""/>
            <o:lock v:ext="edit" aspectratio="t"/>
            <w10:wrap type="none"/>
            <w10:anchorlock/>
          </v:shape>
          <o:OLEObject Type="Embed" ProgID="Equation.DSMT4" ShapeID="_x0000_i1064" DrawAspect="Content" ObjectID="_1468075764" r:id="rId123">
            <o:LockedField>false</o:LockedField>
          </o:OLEObject>
        </w:object>
      </w:r>
      <w:r>
        <w:rPr>
          <w:color w:val="auto"/>
          <w:sz w:val="28"/>
          <w:highlight w:val="none"/>
        </w:rPr>
        <w:t>——</w:t>
      </w:r>
      <w:r>
        <w:rPr>
          <w:rStyle w:val="294"/>
          <w:rFonts w:ascii="Times New Roman" w:hAnsi="Times New Roman" w:cs="Times New Roman"/>
          <w:color w:val="auto"/>
          <w:highlight w:val="none"/>
        </w:rPr>
        <w:t>消力池底板的饱和重度（kN/</w:t>
      </w:r>
      <w:r>
        <w:rPr>
          <w:rStyle w:val="294"/>
          <w:rFonts w:hint="eastAsia" w:cs="Times New Roman"/>
          <w:color w:val="auto"/>
          <w:highlight w:val="none"/>
          <w:lang w:eastAsia="zh-CN"/>
        </w:rPr>
        <w:t>m³</w:t>
      </w:r>
      <w:r>
        <w:rPr>
          <w:rStyle w:val="294"/>
          <w:rFonts w:ascii="Times New Roman" w:hAnsi="Times New Roman" w:cs="Times New Roman"/>
          <w:color w:val="auto"/>
          <w:highlight w:val="none"/>
        </w:rPr>
        <w:t>）。</w:t>
      </w:r>
    </w:p>
    <w:p>
      <w:pPr>
        <w:ind w:firstLine="480"/>
        <w:rPr>
          <w:color w:val="auto"/>
          <w:highlight w:val="none"/>
        </w:rPr>
      </w:pPr>
      <w:r>
        <w:rPr>
          <w:color w:val="auto"/>
          <w:highlight w:val="none"/>
        </w:rPr>
        <w:t>消力池厚度应按上两式计算值取用较大值，但不应小于0.3m。</w:t>
      </w:r>
    </w:p>
    <w:p>
      <w:pPr>
        <w:ind w:firstLine="480"/>
        <w:rPr>
          <w:color w:val="auto"/>
          <w:highlight w:val="none"/>
        </w:rPr>
      </w:pPr>
      <w:r>
        <w:rPr>
          <w:color w:val="auto"/>
          <w:highlight w:val="none"/>
        </w:rPr>
        <w:t>3</w:t>
      </w:r>
      <w:r>
        <w:rPr>
          <w:rFonts w:hint="eastAsia"/>
          <w:color w:val="auto"/>
          <w:highlight w:val="none"/>
          <w:lang w:eastAsia="zh-CN"/>
        </w:rPr>
        <w:t>）</w:t>
      </w:r>
      <w:r>
        <w:rPr>
          <w:color w:val="auto"/>
          <w:highlight w:val="none"/>
        </w:rPr>
        <w:t>水闸参数及计算成果</w:t>
      </w:r>
    </w:p>
    <w:p>
      <w:pPr>
        <w:ind w:firstLine="480"/>
        <w:rPr>
          <w:rFonts w:hint="eastAsia"/>
          <w:color w:val="auto"/>
          <w:highlight w:val="none"/>
        </w:rPr>
      </w:pPr>
      <w:r>
        <w:rPr>
          <w:color w:val="auto"/>
          <w:highlight w:val="none"/>
        </w:rPr>
        <w:t>参数及计算成果详见</w:t>
      </w:r>
      <w:r>
        <w:rPr>
          <w:rFonts w:hint="eastAsia"/>
          <w:color w:val="auto"/>
          <w:highlight w:val="none"/>
          <w:lang w:eastAsia="zh-CN"/>
        </w:rPr>
        <w:t>下</w:t>
      </w:r>
      <w:r>
        <w:rPr>
          <w:color w:val="auto"/>
          <w:highlight w:val="none"/>
        </w:rPr>
        <w:t>表。</w:t>
      </w:r>
    </w:p>
    <w:p>
      <w:pPr>
        <w:pStyle w:val="333"/>
        <w:rPr>
          <w:color w:val="auto"/>
          <w:spacing w:val="20"/>
          <w:kern w:val="0"/>
          <w:highlight w:val="none"/>
        </w:rPr>
      </w:pPr>
      <w:r>
        <w:rPr>
          <w:rFonts w:hint="eastAsia"/>
          <w:color w:val="auto"/>
          <w:highlight w:val="none"/>
        </w:rPr>
        <w:t>表5-</w:t>
      </w:r>
      <w:r>
        <w:rPr>
          <w:rFonts w:hint="eastAsia"/>
          <w:color w:val="auto"/>
          <w:highlight w:val="none"/>
          <w:lang w:val="en-US" w:eastAsia="zh-CN"/>
        </w:rPr>
        <w:t>3</w:t>
      </w:r>
      <w:r>
        <w:rPr>
          <w:rFonts w:hint="eastAsia"/>
          <w:color w:val="auto"/>
          <w:highlight w:val="none"/>
        </w:rPr>
        <w:t xml:space="preserve">  新建或改造水闸计算成果表</w:t>
      </w:r>
    </w:p>
    <w:tbl>
      <w:tblPr>
        <w:tblStyle w:val="47"/>
        <w:tblW w:w="8591" w:type="dxa"/>
        <w:tblInd w:w="0" w:type="dxa"/>
        <w:tblLayout w:type="fixed"/>
        <w:tblCellMar>
          <w:top w:w="0" w:type="dxa"/>
          <w:left w:w="0" w:type="dxa"/>
          <w:bottom w:w="0" w:type="dxa"/>
          <w:right w:w="0" w:type="dxa"/>
        </w:tblCellMar>
      </w:tblPr>
      <w:tblGrid>
        <w:gridCol w:w="474"/>
        <w:gridCol w:w="1438"/>
        <w:gridCol w:w="874"/>
        <w:gridCol w:w="927"/>
        <w:gridCol w:w="692"/>
        <w:gridCol w:w="1619"/>
        <w:gridCol w:w="807"/>
        <w:gridCol w:w="925"/>
        <w:gridCol w:w="835"/>
      </w:tblGrid>
      <w:tr>
        <w:tblPrEx>
          <w:tblCellMar>
            <w:top w:w="0" w:type="dxa"/>
            <w:left w:w="0" w:type="dxa"/>
            <w:bottom w:w="0" w:type="dxa"/>
            <w:right w:w="0" w:type="dxa"/>
          </w:tblCellMar>
        </w:tblPrEx>
        <w:trPr>
          <w:trHeight w:val="20" w:hRule="atLeast"/>
          <w:tblHeader/>
        </w:trPr>
        <w:tc>
          <w:tcPr>
            <w:tcW w:w="474" w:type="dxa"/>
            <w:vMerge w:val="restart"/>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序号</w:t>
            </w:r>
          </w:p>
        </w:tc>
        <w:tc>
          <w:tcPr>
            <w:tcW w:w="1438"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rFonts w:hint="eastAsia" w:eastAsia="宋体"/>
                <w:color w:val="auto"/>
                <w:highlight w:val="none"/>
                <w:lang w:eastAsia="zh-CN"/>
              </w:rPr>
            </w:pPr>
            <w:r>
              <w:rPr>
                <w:rFonts w:hint="eastAsia"/>
                <w:color w:val="auto"/>
                <w:highlight w:val="none"/>
                <w:lang w:eastAsia="zh-CN"/>
              </w:rPr>
              <w:t>泄洪闸</w:t>
            </w:r>
          </w:p>
        </w:tc>
        <w:tc>
          <w:tcPr>
            <w:tcW w:w="874"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布置桩号</w:t>
            </w:r>
          </w:p>
        </w:tc>
        <w:tc>
          <w:tcPr>
            <w:tcW w:w="92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闸孔总宽度</w:t>
            </w:r>
          </w:p>
        </w:tc>
        <w:tc>
          <w:tcPr>
            <w:tcW w:w="69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闸孔高</w:t>
            </w:r>
          </w:p>
        </w:tc>
        <w:tc>
          <w:tcPr>
            <w:tcW w:w="1619"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闸室长</w:t>
            </w:r>
          </w:p>
        </w:tc>
        <w:tc>
          <w:tcPr>
            <w:tcW w:w="80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闸底高程</w:t>
            </w:r>
          </w:p>
        </w:tc>
        <w:tc>
          <w:tcPr>
            <w:tcW w:w="92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闸上水位</w:t>
            </w:r>
          </w:p>
        </w:tc>
        <w:tc>
          <w:tcPr>
            <w:tcW w:w="83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下泄流量</w:t>
            </w:r>
          </w:p>
        </w:tc>
      </w:tr>
      <w:tr>
        <w:tblPrEx>
          <w:tblCellMar>
            <w:top w:w="0" w:type="dxa"/>
            <w:left w:w="0" w:type="dxa"/>
            <w:bottom w:w="0" w:type="dxa"/>
            <w:right w:w="0" w:type="dxa"/>
          </w:tblCellMar>
        </w:tblPrEx>
        <w:trPr>
          <w:trHeight w:val="20" w:hRule="atLeast"/>
          <w:tblHeader/>
        </w:trPr>
        <w:tc>
          <w:tcPr>
            <w:tcW w:w="474" w:type="dxa"/>
            <w:vMerge w:val="continue"/>
            <w:tcBorders>
              <w:top w:val="single" w:color="auto" w:sz="4" w:space="0"/>
              <w:left w:val="single" w:color="auto" w:sz="4" w:space="0"/>
              <w:bottom w:val="single" w:color="auto" w:sz="4" w:space="0"/>
              <w:right w:val="single" w:color="auto" w:sz="4" w:space="0"/>
            </w:tcBorders>
            <w:vAlign w:val="center"/>
          </w:tcPr>
          <w:p>
            <w:pPr>
              <w:pStyle w:val="272"/>
              <w:spacing w:line="336" w:lineRule="auto"/>
              <w:rPr>
                <w:color w:val="auto"/>
                <w:highlight w:val="none"/>
              </w:rPr>
            </w:pPr>
          </w:p>
        </w:tc>
        <w:tc>
          <w:tcPr>
            <w:tcW w:w="1438"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名称</w:t>
            </w:r>
          </w:p>
        </w:tc>
        <w:tc>
          <w:tcPr>
            <w:tcW w:w="874"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（m）</w:t>
            </w:r>
          </w:p>
        </w:tc>
        <w:tc>
          <w:tcPr>
            <w:tcW w:w="92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（m）</w:t>
            </w:r>
          </w:p>
        </w:tc>
        <w:tc>
          <w:tcPr>
            <w:tcW w:w="69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（m）</w:t>
            </w:r>
          </w:p>
        </w:tc>
        <w:tc>
          <w:tcPr>
            <w:tcW w:w="1619"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（m）</w:t>
            </w:r>
          </w:p>
        </w:tc>
        <w:tc>
          <w:tcPr>
            <w:tcW w:w="80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（m）</w:t>
            </w:r>
          </w:p>
        </w:tc>
        <w:tc>
          <w:tcPr>
            <w:tcW w:w="92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（m）</w:t>
            </w:r>
          </w:p>
        </w:tc>
        <w:tc>
          <w:tcPr>
            <w:tcW w:w="83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q(</w:t>
            </w:r>
            <w:r>
              <w:rPr>
                <w:rFonts w:hint="eastAsia"/>
                <w:color w:val="auto"/>
                <w:highlight w:val="none"/>
                <w:lang w:eastAsia="zh-CN"/>
              </w:rPr>
              <w:t>m³</w:t>
            </w:r>
            <w:r>
              <w:rPr>
                <w:rFonts w:hint="eastAsia"/>
                <w:color w:val="auto"/>
                <w:highlight w:val="none"/>
              </w:rPr>
              <w:t>/s)</w:t>
            </w:r>
          </w:p>
        </w:tc>
      </w:tr>
      <w:tr>
        <w:tblPrEx>
          <w:tblCellMar>
            <w:top w:w="0" w:type="dxa"/>
            <w:left w:w="0" w:type="dxa"/>
            <w:bottom w:w="0" w:type="dxa"/>
            <w:right w:w="0" w:type="dxa"/>
          </w:tblCellMar>
        </w:tblPrEx>
        <w:trPr>
          <w:trHeight w:val="20" w:hRule="atLeast"/>
        </w:trPr>
        <w:tc>
          <w:tcPr>
            <w:tcW w:w="474"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1</w:t>
            </w:r>
          </w:p>
        </w:tc>
        <w:tc>
          <w:tcPr>
            <w:tcW w:w="1438"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ind w:firstLine="0" w:firstLineChars="0"/>
              <w:jc w:val="center"/>
              <w:rPr>
                <w:color w:val="auto"/>
                <w:kern w:val="0"/>
                <w:szCs w:val="21"/>
                <w:highlight w:val="none"/>
              </w:rPr>
            </w:pPr>
            <w:r>
              <w:rPr>
                <w:rFonts w:hint="eastAsia"/>
                <w:color w:val="auto"/>
                <w:highlight w:val="none"/>
                <w:lang w:val="en-US" w:eastAsia="zh-CN"/>
              </w:rPr>
              <w:t>1#泄洪闸</w:t>
            </w:r>
          </w:p>
        </w:tc>
        <w:tc>
          <w:tcPr>
            <w:tcW w:w="874"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ind w:firstLine="0" w:firstLineChars="0"/>
              <w:jc w:val="center"/>
              <w:rPr>
                <w:rFonts w:hint="default"/>
                <w:color w:val="auto"/>
                <w:kern w:val="0"/>
                <w:szCs w:val="21"/>
                <w:highlight w:val="none"/>
                <w:lang w:val="en-US"/>
              </w:rPr>
            </w:pPr>
            <w:r>
              <w:rPr>
                <w:rFonts w:hint="eastAsia"/>
                <w:color w:val="auto"/>
                <w:highlight w:val="none"/>
                <w:lang w:val="en-US" w:eastAsia="zh-CN"/>
              </w:rPr>
              <w:t>0+005</w:t>
            </w:r>
          </w:p>
        </w:tc>
        <w:tc>
          <w:tcPr>
            <w:tcW w:w="92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rFonts w:hint="eastAsia" w:eastAsia="宋体"/>
                <w:color w:val="auto"/>
                <w:highlight w:val="none"/>
                <w:lang w:eastAsia="zh-CN"/>
              </w:rPr>
            </w:pPr>
            <w:r>
              <w:rPr>
                <w:rFonts w:hint="eastAsia"/>
                <w:color w:val="auto"/>
                <w:highlight w:val="none"/>
                <w:lang w:val="en-US" w:eastAsia="zh-CN"/>
              </w:rPr>
              <w:t>2.0</w:t>
            </w:r>
          </w:p>
        </w:tc>
        <w:tc>
          <w:tcPr>
            <w:tcW w:w="69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tcPr>
          <w:p>
            <w:pPr>
              <w:pStyle w:val="272"/>
              <w:spacing w:line="336" w:lineRule="auto"/>
              <w:rPr>
                <w:rFonts w:hint="default" w:eastAsia="宋体"/>
                <w:color w:val="auto"/>
                <w:szCs w:val="21"/>
                <w:highlight w:val="none"/>
                <w:lang w:val="en-US" w:eastAsia="zh-CN"/>
              </w:rPr>
            </w:pPr>
            <w:r>
              <w:rPr>
                <w:rFonts w:hint="eastAsia"/>
                <w:color w:val="auto"/>
                <w:szCs w:val="21"/>
                <w:highlight w:val="none"/>
                <w:lang w:val="en-US" w:eastAsia="zh-CN"/>
              </w:rPr>
              <w:t>2.7</w:t>
            </w:r>
          </w:p>
        </w:tc>
        <w:tc>
          <w:tcPr>
            <w:tcW w:w="1619"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rFonts w:hint="eastAsia" w:eastAsia="宋体"/>
                <w:color w:val="auto"/>
                <w:highlight w:val="none"/>
                <w:lang w:eastAsia="zh-CN"/>
              </w:rPr>
            </w:pPr>
            <w:r>
              <w:rPr>
                <w:rFonts w:hint="eastAsia"/>
                <w:color w:val="auto"/>
                <w:highlight w:val="none"/>
                <w:lang w:val="en-US" w:eastAsia="zh-CN"/>
              </w:rPr>
              <w:t>3.5</w:t>
            </w:r>
          </w:p>
        </w:tc>
        <w:tc>
          <w:tcPr>
            <w:tcW w:w="80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rFonts w:hint="eastAsia" w:eastAsia="宋体"/>
                <w:color w:val="auto"/>
                <w:highlight w:val="none"/>
                <w:lang w:eastAsia="zh-CN"/>
              </w:rPr>
            </w:pPr>
            <w:r>
              <w:rPr>
                <w:rFonts w:hint="eastAsia"/>
                <w:color w:val="auto"/>
                <w:highlight w:val="none"/>
                <w:lang w:val="en-US" w:eastAsia="zh-CN"/>
              </w:rPr>
              <w:t>93.49</w:t>
            </w:r>
          </w:p>
        </w:tc>
        <w:tc>
          <w:tcPr>
            <w:tcW w:w="92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rFonts w:hint="default" w:eastAsia="宋体"/>
                <w:color w:val="auto"/>
                <w:highlight w:val="none"/>
                <w:lang w:val="en-US" w:eastAsia="zh-CN"/>
              </w:rPr>
            </w:pPr>
            <w:r>
              <w:rPr>
                <w:rFonts w:hint="eastAsia"/>
                <w:color w:val="auto"/>
                <w:highlight w:val="none"/>
                <w:lang w:val="en-US" w:eastAsia="zh-CN"/>
              </w:rPr>
              <w:t>94.77</w:t>
            </w:r>
          </w:p>
        </w:tc>
        <w:tc>
          <w:tcPr>
            <w:tcW w:w="83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rFonts w:hint="default" w:eastAsia="宋体"/>
                <w:color w:val="auto"/>
                <w:sz w:val="22"/>
                <w:szCs w:val="22"/>
                <w:highlight w:val="none"/>
                <w:lang w:val="en-US" w:eastAsia="zh-CN"/>
              </w:rPr>
            </w:pPr>
            <w:r>
              <w:rPr>
                <w:rFonts w:hint="eastAsia"/>
                <w:color w:val="auto"/>
                <w:sz w:val="22"/>
                <w:szCs w:val="22"/>
                <w:highlight w:val="none"/>
                <w:lang w:val="en-US" w:eastAsia="zh-CN"/>
              </w:rPr>
              <w:t>3.98</w:t>
            </w:r>
          </w:p>
        </w:tc>
      </w:tr>
      <w:tr>
        <w:tblPrEx>
          <w:tblCellMar>
            <w:top w:w="0" w:type="dxa"/>
            <w:left w:w="0" w:type="dxa"/>
            <w:bottom w:w="0" w:type="dxa"/>
            <w:right w:w="0" w:type="dxa"/>
          </w:tblCellMar>
        </w:tblPrEx>
        <w:trPr>
          <w:trHeight w:val="20" w:hRule="atLeast"/>
        </w:trPr>
        <w:tc>
          <w:tcPr>
            <w:tcW w:w="474"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color w:val="auto"/>
                <w:highlight w:val="none"/>
              </w:rPr>
            </w:pPr>
            <w:r>
              <w:rPr>
                <w:rFonts w:hint="eastAsia"/>
                <w:color w:val="auto"/>
                <w:highlight w:val="none"/>
              </w:rPr>
              <w:t>2</w:t>
            </w:r>
          </w:p>
        </w:tc>
        <w:tc>
          <w:tcPr>
            <w:tcW w:w="1438"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ind w:firstLine="0" w:firstLineChars="0"/>
              <w:jc w:val="center"/>
              <w:rPr>
                <w:color w:val="auto"/>
                <w:kern w:val="0"/>
                <w:szCs w:val="21"/>
                <w:highlight w:val="none"/>
              </w:rPr>
            </w:pPr>
            <w:r>
              <w:rPr>
                <w:rFonts w:hint="eastAsia"/>
                <w:color w:val="auto"/>
                <w:highlight w:val="none"/>
                <w:lang w:val="en-US" w:eastAsia="zh-CN"/>
              </w:rPr>
              <w:t>2#泄洪闸</w:t>
            </w:r>
          </w:p>
        </w:tc>
        <w:tc>
          <w:tcPr>
            <w:tcW w:w="874"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ind w:firstLine="0" w:firstLineChars="0"/>
              <w:jc w:val="center"/>
              <w:rPr>
                <w:rFonts w:hint="default"/>
                <w:color w:val="auto"/>
                <w:kern w:val="0"/>
                <w:szCs w:val="21"/>
                <w:highlight w:val="none"/>
                <w:lang w:val="en-US"/>
              </w:rPr>
            </w:pPr>
            <w:r>
              <w:rPr>
                <w:rFonts w:hint="eastAsia"/>
                <w:color w:val="auto"/>
                <w:highlight w:val="none"/>
                <w:lang w:val="en-US" w:eastAsia="zh-CN"/>
              </w:rPr>
              <w:t>0+100</w:t>
            </w:r>
          </w:p>
        </w:tc>
        <w:tc>
          <w:tcPr>
            <w:tcW w:w="92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rFonts w:hint="eastAsia" w:eastAsia="宋体"/>
                <w:color w:val="auto"/>
                <w:highlight w:val="none"/>
                <w:lang w:eastAsia="zh-CN"/>
              </w:rPr>
            </w:pPr>
            <w:r>
              <w:rPr>
                <w:rFonts w:hint="eastAsia"/>
                <w:color w:val="auto"/>
                <w:highlight w:val="none"/>
                <w:lang w:val="en-US" w:eastAsia="zh-CN"/>
              </w:rPr>
              <w:t>2.0</w:t>
            </w:r>
          </w:p>
        </w:tc>
        <w:tc>
          <w:tcPr>
            <w:tcW w:w="69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tcPr>
          <w:p>
            <w:pPr>
              <w:pStyle w:val="272"/>
              <w:spacing w:line="336" w:lineRule="auto"/>
              <w:rPr>
                <w:rFonts w:hint="default" w:eastAsia="宋体"/>
                <w:color w:val="auto"/>
                <w:kern w:val="0"/>
                <w:szCs w:val="21"/>
                <w:highlight w:val="none"/>
                <w:lang w:val="en-US" w:eastAsia="zh-CN"/>
              </w:rPr>
            </w:pPr>
            <w:r>
              <w:rPr>
                <w:rFonts w:hint="eastAsia"/>
                <w:color w:val="auto"/>
                <w:kern w:val="0"/>
                <w:szCs w:val="21"/>
                <w:highlight w:val="none"/>
                <w:lang w:val="en-US" w:eastAsia="zh-CN"/>
              </w:rPr>
              <w:t>2.0</w:t>
            </w:r>
          </w:p>
        </w:tc>
        <w:tc>
          <w:tcPr>
            <w:tcW w:w="1619"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rFonts w:hint="eastAsia" w:eastAsia="宋体"/>
                <w:color w:val="auto"/>
                <w:highlight w:val="none"/>
                <w:lang w:eastAsia="zh-CN"/>
              </w:rPr>
            </w:pPr>
            <w:r>
              <w:rPr>
                <w:rFonts w:hint="eastAsia"/>
                <w:color w:val="auto"/>
                <w:highlight w:val="none"/>
                <w:lang w:val="en-US" w:eastAsia="zh-CN"/>
              </w:rPr>
              <w:t>3.5</w:t>
            </w:r>
          </w:p>
        </w:tc>
        <w:tc>
          <w:tcPr>
            <w:tcW w:w="80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rFonts w:hint="eastAsia" w:eastAsia="宋体"/>
                <w:color w:val="auto"/>
                <w:highlight w:val="none"/>
                <w:lang w:eastAsia="zh-CN"/>
              </w:rPr>
            </w:pPr>
            <w:r>
              <w:rPr>
                <w:rFonts w:hint="eastAsia"/>
                <w:color w:val="auto"/>
                <w:highlight w:val="none"/>
                <w:lang w:val="en-US" w:eastAsia="zh-CN"/>
              </w:rPr>
              <w:t>93.43</w:t>
            </w:r>
          </w:p>
        </w:tc>
        <w:tc>
          <w:tcPr>
            <w:tcW w:w="92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rFonts w:hint="default" w:eastAsia="宋体"/>
                <w:color w:val="auto"/>
                <w:highlight w:val="none"/>
                <w:lang w:val="en-US" w:eastAsia="zh-CN"/>
              </w:rPr>
            </w:pPr>
            <w:r>
              <w:rPr>
                <w:rFonts w:hint="eastAsia"/>
                <w:color w:val="auto"/>
                <w:highlight w:val="none"/>
                <w:lang w:val="en-US" w:eastAsia="zh-CN"/>
              </w:rPr>
              <w:t>94.71</w:t>
            </w:r>
          </w:p>
        </w:tc>
        <w:tc>
          <w:tcPr>
            <w:tcW w:w="83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rFonts w:hint="default" w:eastAsia="宋体"/>
                <w:color w:val="auto"/>
                <w:sz w:val="22"/>
                <w:szCs w:val="22"/>
                <w:highlight w:val="none"/>
                <w:lang w:val="en-US" w:eastAsia="zh-CN"/>
              </w:rPr>
            </w:pPr>
            <w:r>
              <w:rPr>
                <w:rFonts w:hint="eastAsia"/>
                <w:color w:val="auto"/>
                <w:sz w:val="22"/>
                <w:szCs w:val="22"/>
                <w:highlight w:val="none"/>
                <w:lang w:val="en-US" w:eastAsia="zh-CN"/>
              </w:rPr>
              <w:t>3.98</w:t>
            </w:r>
          </w:p>
        </w:tc>
      </w:tr>
      <w:tr>
        <w:tblPrEx>
          <w:tblCellMar>
            <w:top w:w="0" w:type="dxa"/>
            <w:left w:w="0" w:type="dxa"/>
            <w:bottom w:w="0" w:type="dxa"/>
            <w:right w:w="0" w:type="dxa"/>
          </w:tblCellMar>
        </w:tblPrEx>
        <w:trPr>
          <w:trHeight w:val="20" w:hRule="atLeast"/>
        </w:trPr>
        <w:tc>
          <w:tcPr>
            <w:tcW w:w="474"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rFonts w:hint="eastAsia" w:eastAsia="宋体"/>
                <w:color w:val="auto"/>
                <w:highlight w:val="none"/>
                <w:lang w:val="en-US" w:eastAsia="zh-CN"/>
              </w:rPr>
            </w:pPr>
            <w:r>
              <w:rPr>
                <w:rFonts w:hint="eastAsia"/>
                <w:color w:val="auto"/>
                <w:highlight w:val="none"/>
                <w:lang w:val="en-US" w:eastAsia="zh-CN"/>
              </w:rPr>
              <w:t>3</w:t>
            </w:r>
          </w:p>
        </w:tc>
        <w:tc>
          <w:tcPr>
            <w:tcW w:w="1438"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ind w:firstLine="0" w:firstLineChars="0"/>
              <w:jc w:val="center"/>
              <w:rPr>
                <w:rFonts w:hint="eastAsia"/>
                <w:color w:val="auto"/>
                <w:highlight w:val="none"/>
                <w:lang w:val="en-US" w:eastAsia="zh-CN"/>
              </w:rPr>
            </w:pPr>
            <w:r>
              <w:rPr>
                <w:rFonts w:hint="eastAsia"/>
                <w:color w:val="auto"/>
                <w:highlight w:val="none"/>
                <w:lang w:val="en-US" w:eastAsia="zh-CN"/>
              </w:rPr>
              <w:t>3#泄洪闸</w:t>
            </w:r>
          </w:p>
        </w:tc>
        <w:tc>
          <w:tcPr>
            <w:tcW w:w="874"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ind w:firstLine="0" w:firstLineChars="0"/>
              <w:jc w:val="center"/>
              <w:rPr>
                <w:rFonts w:hint="default"/>
                <w:color w:val="auto"/>
                <w:highlight w:val="none"/>
                <w:lang w:val="en-US" w:eastAsia="zh-CN"/>
              </w:rPr>
            </w:pPr>
            <w:r>
              <w:rPr>
                <w:rFonts w:hint="eastAsia"/>
                <w:color w:val="auto"/>
                <w:highlight w:val="none"/>
                <w:lang w:val="en-US" w:eastAsia="zh-CN"/>
              </w:rPr>
              <w:t>1+000</w:t>
            </w:r>
          </w:p>
        </w:tc>
        <w:tc>
          <w:tcPr>
            <w:tcW w:w="92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rFonts w:hint="default"/>
                <w:color w:val="auto"/>
                <w:highlight w:val="none"/>
                <w:lang w:val="en-US" w:eastAsia="zh-CN"/>
              </w:rPr>
            </w:pPr>
            <w:r>
              <w:rPr>
                <w:rFonts w:hint="eastAsia"/>
                <w:color w:val="auto"/>
                <w:highlight w:val="none"/>
                <w:lang w:val="en-US" w:eastAsia="zh-CN"/>
              </w:rPr>
              <w:t>2.0</w:t>
            </w:r>
          </w:p>
        </w:tc>
        <w:tc>
          <w:tcPr>
            <w:tcW w:w="69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tcPr>
          <w:p>
            <w:pPr>
              <w:pStyle w:val="272"/>
              <w:spacing w:line="336" w:lineRule="auto"/>
              <w:rPr>
                <w:rFonts w:hint="default"/>
                <w:color w:val="auto"/>
                <w:kern w:val="0"/>
                <w:szCs w:val="21"/>
                <w:highlight w:val="none"/>
                <w:lang w:val="en-US" w:eastAsia="zh-CN"/>
              </w:rPr>
            </w:pPr>
            <w:r>
              <w:rPr>
                <w:rFonts w:hint="eastAsia"/>
                <w:color w:val="auto"/>
                <w:kern w:val="0"/>
                <w:szCs w:val="21"/>
                <w:highlight w:val="none"/>
                <w:lang w:val="en-US" w:eastAsia="zh-CN"/>
              </w:rPr>
              <w:t>2.8</w:t>
            </w:r>
          </w:p>
        </w:tc>
        <w:tc>
          <w:tcPr>
            <w:tcW w:w="1619"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rFonts w:hint="default"/>
                <w:color w:val="auto"/>
                <w:highlight w:val="none"/>
                <w:lang w:val="en-US" w:eastAsia="zh-CN"/>
              </w:rPr>
            </w:pPr>
            <w:r>
              <w:rPr>
                <w:rFonts w:hint="eastAsia"/>
                <w:color w:val="auto"/>
                <w:highlight w:val="none"/>
                <w:lang w:val="en-US" w:eastAsia="zh-CN"/>
              </w:rPr>
              <w:t>3.5</w:t>
            </w:r>
          </w:p>
        </w:tc>
        <w:tc>
          <w:tcPr>
            <w:tcW w:w="80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rFonts w:hint="eastAsia"/>
                <w:color w:val="auto"/>
                <w:highlight w:val="none"/>
                <w:lang w:val="en-US" w:eastAsia="zh-CN"/>
              </w:rPr>
            </w:pPr>
            <w:r>
              <w:rPr>
                <w:rFonts w:hint="eastAsia"/>
                <w:color w:val="auto"/>
                <w:highlight w:val="none"/>
                <w:lang w:val="en-US" w:eastAsia="zh-CN"/>
              </w:rPr>
              <w:t>92.95</w:t>
            </w:r>
          </w:p>
        </w:tc>
        <w:tc>
          <w:tcPr>
            <w:tcW w:w="92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rFonts w:hint="default"/>
                <w:color w:val="auto"/>
                <w:highlight w:val="none"/>
                <w:lang w:val="en-US" w:eastAsia="zh-CN"/>
              </w:rPr>
            </w:pPr>
            <w:r>
              <w:rPr>
                <w:rFonts w:hint="eastAsia"/>
                <w:color w:val="auto"/>
                <w:highlight w:val="none"/>
                <w:lang w:val="en-US" w:eastAsia="zh-CN"/>
              </w:rPr>
              <w:t>94.23</w:t>
            </w:r>
          </w:p>
        </w:tc>
        <w:tc>
          <w:tcPr>
            <w:tcW w:w="83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pPr>
              <w:pStyle w:val="272"/>
              <w:spacing w:line="336" w:lineRule="auto"/>
              <w:rPr>
                <w:rFonts w:hint="default"/>
                <w:color w:val="auto"/>
                <w:sz w:val="22"/>
                <w:szCs w:val="22"/>
                <w:highlight w:val="none"/>
                <w:lang w:val="en-US" w:eastAsia="zh-CN"/>
              </w:rPr>
            </w:pPr>
            <w:r>
              <w:rPr>
                <w:rFonts w:hint="eastAsia"/>
                <w:color w:val="auto"/>
                <w:sz w:val="22"/>
                <w:szCs w:val="22"/>
                <w:highlight w:val="none"/>
                <w:lang w:val="en-US" w:eastAsia="zh-CN"/>
              </w:rPr>
              <w:t>3.98</w:t>
            </w:r>
          </w:p>
        </w:tc>
      </w:tr>
    </w:tbl>
    <w:p>
      <w:pPr>
        <w:numPr>
          <w:ilvl w:val="0"/>
          <w:numId w:val="4"/>
        </w:numPr>
        <w:ind w:firstLine="480"/>
        <w:rPr>
          <w:rFonts w:hint="eastAsia"/>
          <w:color w:val="auto"/>
          <w:highlight w:val="none"/>
          <w:lang w:val="en-US" w:eastAsia="zh-CN" w:bidi="en-US"/>
        </w:rPr>
      </w:pPr>
      <w:r>
        <w:rPr>
          <w:rFonts w:hint="eastAsia"/>
          <w:color w:val="auto"/>
          <w:highlight w:val="none"/>
          <w:lang w:val="en-US" w:eastAsia="zh-CN" w:bidi="en-US"/>
        </w:rPr>
        <w:t>泄洪闸开启建议</w:t>
      </w:r>
    </w:p>
    <w:p>
      <w:pPr>
        <w:ind w:firstLine="480"/>
        <w:rPr>
          <w:rFonts w:hint="eastAsia"/>
          <w:color w:val="auto"/>
          <w:highlight w:val="none"/>
          <w:lang w:bidi="en-US"/>
        </w:rPr>
      </w:pPr>
      <w:r>
        <w:rPr>
          <w:rFonts w:hint="eastAsia"/>
          <w:color w:val="auto"/>
          <w:highlight w:val="none"/>
          <w:lang w:val="en-US" w:eastAsia="zh-CN" w:bidi="en-US"/>
        </w:rPr>
        <w:t>根据现场查勘，</w:t>
      </w:r>
      <w:r>
        <w:rPr>
          <w:rFonts w:hint="eastAsia"/>
          <w:color w:val="auto"/>
          <w:highlight w:val="none"/>
        </w:rPr>
        <w:t>新建或改造</w:t>
      </w:r>
      <w:r>
        <w:rPr>
          <w:rFonts w:hint="eastAsia"/>
          <w:color w:val="auto"/>
          <w:highlight w:val="none"/>
          <w:lang w:val="en-US" w:eastAsia="zh-CN" w:bidi="en-US"/>
        </w:rPr>
        <w:t>建泄洪闸下游地质情况及植被较好，并有渠道承接泄洪洪水。在防汛期间，泄洪闸开启建议根据实际情况进行开启泄洪，若洪水满渠时，建议泄洪闸全部开启泄洪。</w:t>
      </w:r>
    </w:p>
    <w:p>
      <w:pPr>
        <w:pStyle w:val="335"/>
        <w:spacing w:before="156" w:after="156"/>
        <w:rPr>
          <w:rFonts w:hint="default"/>
          <w:color w:val="auto"/>
          <w:highlight w:val="none"/>
          <w:lang w:val="en-US" w:bidi="en-US"/>
        </w:rPr>
      </w:pPr>
      <w:r>
        <w:rPr>
          <w:rFonts w:hint="eastAsia"/>
          <w:color w:val="auto"/>
          <w:highlight w:val="none"/>
          <w:lang w:bidi="en-US"/>
        </w:rPr>
        <w:t>5.3.</w:t>
      </w:r>
      <w:r>
        <w:rPr>
          <w:rFonts w:hint="eastAsia"/>
          <w:color w:val="auto"/>
          <w:highlight w:val="none"/>
          <w:lang w:val="en-US" w:eastAsia="zh-CN" w:bidi="en-US"/>
        </w:rPr>
        <w:t>4</w:t>
      </w:r>
      <w:r>
        <w:rPr>
          <w:rFonts w:hint="eastAsia"/>
          <w:color w:val="auto"/>
          <w:highlight w:val="none"/>
          <w:lang w:bidi="en-US"/>
        </w:rPr>
        <w:t xml:space="preserve"> </w:t>
      </w:r>
      <w:r>
        <w:rPr>
          <w:rFonts w:hint="eastAsia"/>
          <w:color w:val="auto"/>
          <w:highlight w:val="none"/>
          <w:lang w:eastAsia="zh-CN" w:bidi="en-US"/>
        </w:rPr>
        <w:t>人行桥</w:t>
      </w:r>
      <w:r>
        <w:rPr>
          <w:rFonts w:hint="eastAsia"/>
          <w:color w:val="auto"/>
          <w:highlight w:val="none"/>
          <w:lang w:val="en-US" w:eastAsia="zh-CN" w:bidi="en-US"/>
        </w:rPr>
        <w:t>及机耕桥</w:t>
      </w:r>
    </w:p>
    <w:p>
      <w:pPr>
        <w:ind w:firstLine="480"/>
        <w:rPr>
          <w:rFonts w:hint="default"/>
          <w:color w:val="auto"/>
          <w:highlight w:val="none"/>
          <w:lang w:val="en-US" w:eastAsia="zh-CN"/>
        </w:rPr>
      </w:pPr>
      <w:r>
        <w:rPr>
          <w:rFonts w:hint="eastAsia"/>
          <w:color w:val="auto"/>
          <w:highlight w:val="none"/>
        </w:rPr>
        <w:t>根据渠道</w:t>
      </w:r>
      <w:r>
        <w:rPr>
          <w:rFonts w:hint="eastAsia"/>
          <w:color w:val="auto"/>
          <w:highlight w:val="none"/>
          <w:lang w:eastAsia="zh-CN"/>
        </w:rPr>
        <w:t>现状运行情况，结合当地村民耕作需要，本工程拟拆除重建耕作人行桥</w:t>
      </w:r>
      <w:r>
        <w:rPr>
          <w:rFonts w:hint="eastAsia"/>
          <w:color w:val="auto"/>
          <w:highlight w:val="none"/>
          <w:lang w:val="en-US" w:eastAsia="zh-CN"/>
        </w:rPr>
        <w:t>5座，分别布置在0+102、0+240、0+420、0+830、0+830，</w:t>
      </w:r>
      <w:r>
        <w:rPr>
          <w:rFonts w:hint="default"/>
          <w:color w:val="auto"/>
          <w:highlight w:val="none"/>
          <w:lang w:val="en-US" w:eastAsia="zh-CN"/>
        </w:rPr>
        <w:t>人行桥为简支板式</w:t>
      </w:r>
      <w:r>
        <w:rPr>
          <w:rFonts w:hint="eastAsia"/>
          <w:color w:val="auto"/>
          <w:highlight w:val="none"/>
          <w:lang w:val="en-US" w:eastAsia="zh-CN"/>
        </w:rPr>
        <w:t>钢筋</w:t>
      </w:r>
      <w:r>
        <w:rPr>
          <w:rFonts w:hint="default"/>
          <w:color w:val="auto"/>
          <w:highlight w:val="none"/>
          <w:lang w:val="en-US" w:eastAsia="zh-CN"/>
        </w:rPr>
        <w:t>混凝土桥，桥面净宽1.5m，板厚0.3m，设计荷载4.0</w:t>
      </w:r>
      <w:r>
        <w:rPr>
          <w:rFonts w:hint="eastAsia"/>
          <w:color w:val="auto"/>
          <w:highlight w:val="none"/>
          <w:lang w:val="en-US" w:eastAsia="zh-CN"/>
        </w:rPr>
        <w:t>k</w:t>
      </w:r>
      <w:r>
        <w:rPr>
          <w:rFonts w:hint="default"/>
          <w:color w:val="auto"/>
          <w:highlight w:val="none"/>
          <w:lang w:val="en-US" w:eastAsia="zh-CN"/>
        </w:rPr>
        <w:t>N/m</w:t>
      </w:r>
      <w:r>
        <w:rPr>
          <w:rFonts w:hint="eastAsia"/>
          <w:color w:val="auto"/>
          <w:highlight w:val="none"/>
          <w:lang w:val="en-US" w:eastAsia="zh-CN"/>
        </w:rPr>
        <w:t>²</w:t>
      </w:r>
      <w:r>
        <w:rPr>
          <w:rFonts w:hint="default"/>
          <w:color w:val="auto"/>
          <w:highlight w:val="none"/>
          <w:lang w:val="en-US" w:eastAsia="zh-CN"/>
        </w:rPr>
        <w:t>，设计地基承载力[σ]</w:t>
      </w:r>
      <w:r>
        <w:rPr>
          <w:rFonts w:hint="eastAsia"/>
          <w:color w:val="auto"/>
          <w:highlight w:val="none"/>
          <w:lang w:val="en-US" w:eastAsia="zh-CN"/>
        </w:rPr>
        <w:t>≥</w:t>
      </w:r>
      <w:r>
        <w:rPr>
          <w:rFonts w:hint="default"/>
          <w:color w:val="auto"/>
          <w:highlight w:val="none"/>
          <w:lang w:val="en-US" w:eastAsia="zh-CN"/>
        </w:rPr>
        <w:t>100KPa。</w:t>
      </w:r>
      <w:r>
        <w:rPr>
          <w:rFonts w:hint="eastAsia"/>
          <w:color w:val="auto"/>
          <w:highlight w:val="none"/>
          <w:lang w:eastAsia="zh-CN"/>
        </w:rPr>
        <w:t>结合当地村民耕作</w:t>
      </w:r>
      <w:r>
        <w:rPr>
          <w:rFonts w:hint="eastAsia"/>
          <w:color w:val="auto"/>
          <w:highlight w:val="none"/>
          <w:lang w:val="en-US" w:eastAsia="zh-CN"/>
        </w:rPr>
        <w:t>交通运输</w:t>
      </w:r>
      <w:r>
        <w:rPr>
          <w:rFonts w:hint="eastAsia"/>
          <w:color w:val="auto"/>
          <w:highlight w:val="none"/>
          <w:lang w:eastAsia="zh-CN"/>
        </w:rPr>
        <w:t>需要，本工程</w:t>
      </w:r>
      <w:r>
        <w:rPr>
          <w:rFonts w:hint="eastAsia"/>
          <w:color w:val="auto"/>
          <w:highlight w:val="none"/>
          <w:lang w:val="en-US" w:eastAsia="zh-CN"/>
        </w:rPr>
        <w:t>拟拆</w:t>
      </w:r>
      <w:r>
        <w:rPr>
          <w:rFonts w:hint="eastAsia"/>
          <w:color w:val="auto"/>
          <w:highlight w:val="none"/>
          <w:lang w:eastAsia="zh-CN"/>
        </w:rPr>
        <w:t>除重建耕作</w:t>
      </w:r>
      <w:r>
        <w:rPr>
          <w:rFonts w:hint="eastAsia"/>
          <w:color w:val="auto"/>
          <w:highlight w:val="none"/>
          <w:lang w:val="en-US" w:eastAsia="zh-CN"/>
        </w:rPr>
        <w:t>机耕</w:t>
      </w:r>
      <w:r>
        <w:rPr>
          <w:rFonts w:hint="eastAsia"/>
          <w:color w:val="auto"/>
          <w:highlight w:val="none"/>
          <w:lang w:eastAsia="zh-CN"/>
        </w:rPr>
        <w:t>桥</w:t>
      </w:r>
      <w:r>
        <w:rPr>
          <w:rFonts w:hint="eastAsia"/>
          <w:color w:val="auto"/>
          <w:highlight w:val="none"/>
          <w:lang w:val="en-US" w:eastAsia="zh-CN"/>
        </w:rPr>
        <w:t>2座，分别布置在0+560、0+795，机耕桥为</w:t>
      </w:r>
      <w:r>
        <w:rPr>
          <w:rFonts w:hint="default"/>
          <w:color w:val="auto"/>
          <w:highlight w:val="none"/>
          <w:lang w:val="en-US" w:eastAsia="zh-CN"/>
        </w:rPr>
        <w:t>简支板式</w:t>
      </w:r>
      <w:r>
        <w:rPr>
          <w:rFonts w:hint="eastAsia"/>
          <w:color w:val="auto"/>
          <w:highlight w:val="none"/>
          <w:lang w:val="en-US" w:eastAsia="zh-CN"/>
        </w:rPr>
        <w:t>钢筋</w:t>
      </w:r>
      <w:r>
        <w:rPr>
          <w:rFonts w:hint="default"/>
          <w:color w:val="auto"/>
          <w:highlight w:val="none"/>
          <w:lang w:val="en-US" w:eastAsia="zh-CN"/>
        </w:rPr>
        <w:t>混凝土桥，桥面净宽</w:t>
      </w:r>
      <w:r>
        <w:rPr>
          <w:rFonts w:hint="eastAsia"/>
          <w:color w:val="auto"/>
          <w:highlight w:val="none"/>
          <w:lang w:val="en-US" w:eastAsia="zh-CN"/>
        </w:rPr>
        <w:t>4.0</w:t>
      </w:r>
      <w:r>
        <w:rPr>
          <w:rFonts w:hint="default"/>
          <w:color w:val="auto"/>
          <w:highlight w:val="none"/>
          <w:lang w:val="en-US" w:eastAsia="zh-CN"/>
        </w:rPr>
        <w:t>m，板厚</w:t>
      </w:r>
      <w:r>
        <w:rPr>
          <w:rFonts w:hint="eastAsia"/>
          <w:color w:val="auto"/>
          <w:highlight w:val="none"/>
          <w:lang w:val="en-US" w:eastAsia="zh-CN"/>
        </w:rPr>
        <w:t>0.4</w:t>
      </w:r>
      <w:r>
        <w:rPr>
          <w:rFonts w:hint="default"/>
          <w:color w:val="auto"/>
          <w:highlight w:val="none"/>
          <w:lang w:val="en-US" w:eastAsia="zh-CN"/>
        </w:rPr>
        <w:t>m，设计荷载采用公路-Ⅱ级汽车荷载等级，设计地基承载力[σ]</w:t>
      </w:r>
      <w:r>
        <w:rPr>
          <w:rFonts w:hint="eastAsia"/>
          <w:color w:val="auto"/>
          <w:highlight w:val="none"/>
          <w:lang w:val="en-US" w:eastAsia="zh-CN"/>
        </w:rPr>
        <w:t>≥</w:t>
      </w:r>
      <w:r>
        <w:rPr>
          <w:rFonts w:hint="default"/>
          <w:color w:val="auto"/>
          <w:highlight w:val="none"/>
          <w:lang w:val="en-US" w:eastAsia="zh-CN"/>
        </w:rPr>
        <w:t>1</w:t>
      </w:r>
      <w:r>
        <w:rPr>
          <w:rFonts w:hint="eastAsia"/>
          <w:color w:val="auto"/>
          <w:highlight w:val="none"/>
          <w:lang w:val="en-US" w:eastAsia="zh-CN"/>
        </w:rPr>
        <w:t>50</w:t>
      </w:r>
      <w:r>
        <w:rPr>
          <w:rFonts w:hint="default"/>
          <w:color w:val="auto"/>
          <w:highlight w:val="none"/>
          <w:lang w:val="en-US" w:eastAsia="zh-CN"/>
        </w:rPr>
        <w:t>KPa。</w:t>
      </w:r>
    </w:p>
    <w:p>
      <w:pPr>
        <w:pStyle w:val="335"/>
        <w:spacing w:before="156" w:after="156"/>
        <w:rPr>
          <w:rFonts w:hint="default"/>
          <w:color w:val="auto"/>
          <w:highlight w:val="none"/>
          <w:lang w:val="en-US" w:eastAsia="zh-CN" w:bidi="en-US"/>
        </w:rPr>
      </w:pPr>
      <w:r>
        <w:rPr>
          <w:rFonts w:hint="eastAsia"/>
          <w:color w:val="auto"/>
          <w:highlight w:val="none"/>
          <w:lang w:val="en-US" w:eastAsia="zh-CN" w:bidi="en-US"/>
        </w:rPr>
        <w:t>5.3.5南大水库大坝溢流面</w:t>
      </w:r>
    </w:p>
    <w:bookmarkEnd w:id="277"/>
    <w:p>
      <w:pPr>
        <w:ind w:firstLine="480"/>
        <w:rPr>
          <w:rFonts w:hint="default"/>
          <w:color w:val="auto"/>
          <w:highlight w:val="none"/>
          <w:lang w:val="en-US" w:eastAsia="zh-CN"/>
        </w:rPr>
      </w:pPr>
      <w:r>
        <w:rPr>
          <w:rFonts w:hint="eastAsia"/>
          <w:color w:val="auto"/>
          <w:highlight w:val="none"/>
          <w:lang w:val="en-US" w:eastAsia="zh-CN"/>
        </w:rPr>
        <w:t>南大水库大坝为本灌区主要来水水源，由于大坝溢流面批荡脱落，存在不同程序的损坏等问题，影响了大坝的安全，所以南大水库近几年均停止蓄水，导致灌区需水高峰期不能满足灌溉要求，严重影响了农田的灌溉。</w:t>
      </w:r>
    </w:p>
    <w:p>
      <w:pPr>
        <w:ind w:firstLine="480"/>
        <w:rPr>
          <w:rFonts w:hint="eastAsia"/>
          <w:color w:val="auto"/>
          <w:highlight w:val="none"/>
          <w:lang w:val="en-US" w:eastAsia="zh-CN"/>
        </w:rPr>
      </w:pPr>
      <w:r>
        <w:rPr>
          <w:rFonts w:hint="eastAsia"/>
          <w:color w:val="auto"/>
          <w:highlight w:val="none"/>
          <w:lang w:val="en-US" w:eastAsia="zh-CN"/>
        </w:rPr>
        <w:t>结合工程实际，根据当地政府要求，本设计仅对南大水库大坝溢流面进行加固，主要在原有溢流面上加建C30钢筋砼溢流面板，面板厚度为0.2m，面板布置一层直径为14mm的钢筋网，总共加建C30钢筋砼溢流面板为1168m²。</w:t>
      </w:r>
    </w:p>
    <w:p>
      <w:pPr>
        <w:pStyle w:val="335"/>
        <w:spacing w:before="156" w:after="156"/>
        <w:rPr>
          <w:rFonts w:hint="eastAsia" w:ascii="Times New Roman" w:hAnsi="Times New Roman" w:cs="Times New Roman"/>
          <w:color w:val="auto"/>
          <w:highlight w:val="none"/>
          <w:lang w:val="en-US" w:eastAsia="zh-CN" w:bidi="en-US"/>
        </w:rPr>
      </w:pPr>
      <w:r>
        <w:rPr>
          <w:rFonts w:hint="eastAsia" w:ascii="Times New Roman" w:hAnsi="Times New Roman" w:cs="Times New Roman"/>
          <w:color w:val="auto"/>
          <w:highlight w:val="none"/>
          <w:lang w:val="en-US" w:eastAsia="zh-CN" w:bidi="en-US"/>
        </w:rPr>
        <w:t>5.3.</w:t>
      </w:r>
      <w:r>
        <w:rPr>
          <w:rFonts w:hint="eastAsia" w:cs="Times New Roman"/>
          <w:color w:val="auto"/>
          <w:highlight w:val="none"/>
          <w:lang w:val="en-US" w:eastAsia="zh-CN" w:bidi="en-US"/>
        </w:rPr>
        <w:t>6</w:t>
      </w:r>
      <w:r>
        <w:rPr>
          <w:rFonts w:hint="eastAsia" w:ascii="Times New Roman" w:hAnsi="Times New Roman" w:cs="Times New Roman"/>
          <w:color w:val="auto"/>
          <w:highlight w:val="none"/>
          <w:lang w:val="en-US" w:eastAsia="zh-CN" w:bidi="en-US"/>
        </w:rPr>
        <w:t>挡墙稳定计算</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textAlignment w:val="auto"/>
        <w:outlineLvl w:val="9"/>
        <w:rPr>
          <w:color w:val="auto"/>
          <w:sz w:val="24"/>
        </w:rPr>
      </w:pPr>
      <w:r>
        <w:rPr>
          <w:rFonts w:hint="eastAsia" w:ascii="宋体" w:hAnsi="宋体" w:eastAsia="宋体" w:cs="宋体"/>
          <w:color w:val="auto"/>
          <w:sz w:val="24"/>
          <w:szCs w:val="24"/>
          <w:lang w:eastAsia="zh-CN"/>
        </w:rPr>
        <w:t>本次主要对</w:t>
      </w:r>
      <w:r>
        <w:rPr>
          <w:rFonts w:hint="eastAsia" w:ascii="宋体" w:hAnsi="宋体" w:cs="宋体"/>
          <w:color w:val="auto"/>
          <w:sz w:val="24"/>
          <w:szCs w:val="24"/>
          <w:lang w:eastAsia="zh-CN"/>
        </w:rPr>
        <w:t>新建</w:t>
      </w:r>
      <w:r>
        <w:rPr>
          <w:rFonts w:hint="eastAsia" w:ascii="宋体" w:hAnsi="宋体" w:eastAsia="宋体" w:cs="宋体"/>
          <w:color w:val="auto"/>
          <w:sz w:val="24"/>
          <w:szCs w:val="24"/>
          <w:lang w:eastAsia="zh-CN"/>
        </w:rPr>
        <w:t>挡墙进行计算，选取</w:t>
      </w:r>
      <w:r>
        <w:rPr>
          <w:rFonts w:hint="eastAsia" w:ascii="宋体" w:hAnsi="宋体" w:eastAsia="宋体" w:cs="宋体"/>
          <w:color w:val="auto"/>
          <w:sz w:val="24"/>
          <w:szCs w:val="24"/>
          <w:lang w:val="en-US" w:eastAsia="zh-CN"/>
        </w:rPr>
        <w:t>3#泄洪闸泄槽段侧墙</w:t>
      </w:r>
      <w:r>
        <w:rPr>
          <w:rFonts w:hint="eastAsia" w:ascii="宋体" w:hAnsi="宋体" w:eastAsia="宋体" w:cs="宋体"/>
          <w:color w:val="auto"/>
          <w:sz w:val="24"/>
          <w:szCs w:val="24"/>
          <w:lang w:eastAsia="zh-CN"/>
        </w:rPr>
        <w:t>高</w:t>
      </w:r>
      <w:r>
        <w:rPr>
          <w:rFonts w:hint="eastAsia" w:ascii="宋体" w:hAnsi="宋体" w:eastAsia="宋体" w:cs="宋体"/>
          <w:color w:val="auto"/>
          <w:sz w:val="24"/>
          <w:szCs w:val="24"/>
          <w:lang w:val="en-US" w:eastAsia="zh-CN"/>
        </w:rPr>
        <w:t>3.2m为计算断面，</w:t>
      </w:r>
      <w:r>
        <w:rPr>
          <w:rFonts w:hint="eastAsia" w:ascii="宋体" w:hAnsi="宋体" w:eastAsia="宋体" w:cs="宋体"/>
          <w:color w:val="auto"/>
          <w:sz w:val="24"/>
          <w:szCs w:val="24"/>
          <w:lang w:eastAsia="zh-CN"/>
        </w:rPr>
        <w:t>计算依据《水工挡土墙设计规范》（SL379-2007）等相关规定进行计算</w:t>
      </w:r>
      <w:r>
        <w:rPr>
          <w:rFonts w:hAnsi="宋体"/>
          <w:color w:val="auto"/>
          <w:sz w:val="24"/>
        </w:rPr>
        <w:t>。</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textAlignment w:val="auto"/>
        <w:outlineLvl w:val="9"/>
        <w:rPr>
          <w:color w:val="auto"/>
          <w:sz w:val="24"/>
        </w:rPr>
      </w:pPr>
      <w:r>
        <w:rPr>
          <w:rFonts w:hAnsi="宋体"/>
          <w:color w:val="auto"/>
          <w:sz w:val="24"/>
        </w:rPr>
        <w:t>（</w:t>
      </w:r>
      <w:r>
        <w:rPr>
          <w:color w:val="auto"/>
          <w:sz w:val="24"/>
        </w:rPr>
        <w:t>1</w:t>
      </w:r>
      <w:r>
        <w:rPr>
          <w:rFonts w:hAnsi="宋体"/>
          <w:color w:val="auto"/>
          <w:sz w:val="24"/>
        </w:rPr>
        <w:t>）计算方法及计算公式</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textAlignment w:val="auto"/>
        <w:outlineLvl w:val="9"/>
        <w:rPr>
          <w:color w:val="auto"/>
          <w:sz w:val="24"/>
        </w:rPr>
      </w:pPr>
      <w:r>
        <w:rPr>
          <w:rFonts w:hAnsi="宋体"/>
          <w:color w:val="auto"/>
          <w:sz w:val="24"/>
        </w:rPr>
        <w:t>挡土墙的抗滑稳定安全系数按下式计算：</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jc w:val="center"/>
        <w:textAlignment w:val="auto"/>
        <w:outlineLvl w:val="9"/>
        <w:rPr>
          <w:color w:val="auto"/>
          <w:sz w:val="24"/>
        </w:rPr>
      </w:pPr>
      <w:r>
        <w:rPr>
          <w:color w:val="auto"/>
          <w:sz w:val="24"/>
        </w:rPr>
        <w:drawing>
          <wp:inline distT="0" distB="0" distL="114300" distR="114300">
            <wp:extent cx="847725" cy="343535"/>
            <wp:effectExtent l="0" t="0" r="9525" b="18415"/>
            <wp:docPr id="84" name="图片 47" descr="wps1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47" descr="wps11A"/>
                    <pic:cNvPicPr>
                      <a:picLocks noChangeAspect="1" noChangeArrowheads="1"/>
                    </pic:cNvPicPr>
                  </pic:nvPicPr>
                  <pic:blipFill>
                    <a:blip r:embed="rId125"/>
                    <a:srcRect/>
                    <a:stretch>
                      <a:fillRect/>
                    </a:stretch>
                  </pic:blipFill>
                  <pic:spPr>
                    <a:xfrm>
                      <a:off x="0" y="0"/>
                      <a:ext cx="847725" cy="342900"/>
                    </a:xfrm>
                    <a:prstGeom prst="rect">
                      <a:avLst/>
                    </a:prstGeom>
                    <a:noFill/>
                    <a:ln w="9525">
                      <a:noFill/>
                      <a:miter lim="800000"/>
                      <a:headEnd/>
                      <a:tailEnd/>
                    </a:ln>
                    <a:effectLst/>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textAlignment w:val="auto"/>
        <w:outlineLvl w:val="9"/>
        <w:rPr>
          <w:color w:val="auto"/>
          <w:sz w:val="24"/>
        </w:rPr>
      </w:pPr>
      <w:r>
        <w:rPr>
          <w:rFonts w:hAnsi="宋体"/>
          <w:color w:val="auto"/>
          <w:sz w:val="24"/>
        </w:rPr>
        <w:t>挡土墙的抗倾稳定性应按下式计算：</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jc w:val="center"/>
        <w:textAlignment w:val="auto"/>
        <w:outlineLvl w:val="9"/>
        <w:rPr>
          <w:color w:val="auto"/>
          <w:sz w:val="24"/>
        </w:rPr>
      </w:pPr>
      <w:r>
        <w:rPr>
          <w:color w:val="auto"/>
          <w:sz w:val="24"/>
        </w:rPr>
        <w:drawing>
          <wp:inline distT="0" distB="0" distL="114300" distR="114300">
            <wp:extent cx="848360" cy="332740"/>
            <wp:effectExtent l="0" t="0" r="8890" b="10795"/>
            <wp:docPr id="85" name="图片 48" descr="wps1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8" descr="wps11B"/>
                    <pic:cNvPicPr>
                      <a:picLocks noChangeAspect="1" noChangeArrowheads="1"/>
                    </pic:cNvPicPr>
                  </pic:nvPicPr>
                  <pic:blipFill>
                    <a:blip r:embed="rId126"/>
                    <a:srcRect/>
                    <a:stretch>
                      <a:fillRect/>
                    </a:stretch>
                  </pic:blipFill>
                  <pic:spPr>
                    <a:xfrm>
                      <a:off x="0" y="0"/>
                      <a:ext cx="847725" cy="333375"/>
                    </a:xfrm>
                    <a:prstGeom prst="rect">
                      <a:avLst/>
                    </a:prstGeom>
                    <a:noFill/>
                    <a:ln w="9525">
                      <a:noFill/>
                      <a:miter lim="800000"/>
                      <a:headEnd/>
                      <a:tailEnd/>
                    </a:ln>
                    <a:effectLst/>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textAlignment w:val="auto"/>
        <w:outlineLvl w:val="9"/>
        <w:rPr>
          <w:color w:val="auto"/>
          <w:sz w:val="24"/>
        </w:rPr>
      </w:pPr>
      <w:r>
        <w:rPr>
          <w:rFonts w:hAnsi="宋体"/>
          <w:color w:val="auto"/>
          <w:sz w:val="24"/>
        </w:rPr>
        <w:t>挡土墙基底压应力按下式计算</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jc w:val="center"/>
        <w:textAlignment w:val="auto"/>
        <w:outlineLvl w:val="9"/>
        <w:rPr>
          <w:color w:val="auto"/>
          <w:sz w:val="24"/>
        </w:rPr>
      </w:pPr>
      <w:r>
        <w:rPr>
          <w:color w:val="auto"/>
          <w:sz w:val="24"/>
        </w:rPr>
        <w:drawing>
          <wp:inline distT="0" distB="0" distL="114300" distR="114300">
            <wp:extent cx="1581150" cy="332740"/>
            <wp:effectExtent l="0" t="0" r="0" b="10795"/>
            <wp:docPr id="86" name="图片 49" descr="wps1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9" descr="wps11C"/>
                    <pic:cNvPicPr>
                      <a:picLocks noChangeAspect="1" noChangeArrowheads="1"/>
                    </pic:cNvPicPr>
                  </pic:nvPicPr>
                  <pic:blipFill>
                    <a:blip r:embed="rId127"/>
                    <a:srcRect/>
                    <a:stretch>
                      <a:fillRect/>
                    </a:stretch>
                  </pic:blipFill>
                  <pic:spPr>
                    <a:xfrm>
                      <a:off x="0" y="0"/>
                      <a:ext cx="1581150" cy="333375"/>
                    </a:xfrm>
                    <a:prstGeom prst="rect">
                      <a:avLst/>
                    </a:prstGeom>
                    <a:noFill/>
                    <a:ln w="9525">
                      <a:noFill/>
                      <a:miter lim="800000"/>
                      <a:headEnd/>
                      <a:tailEnd/>
                    </a:ln>
                    <a:effectLst/>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textAlignment w:val="auto"/>
        <w:outlineLvl w:val="9"/>
        <w:rPr>
          <w:color w:val="auto"/>
          <w:sz w:val="24"/>
        </w:rPr>
      </w:pPr>
      <w:bookmarkStart w:id="316" w:name="_Toc437771314"/>
      <w:bookmarkEnd w:id="316"/>
      <w:bookmarkStart w:id="317" w:name="_Toc406521739"/>
      <w:r>
        <w:rPr>
          <w:rFonts w:hAnsi="宋体"/>
          <w:color w:val="auto"/>
          <w:sz w:val="24"/>
        </w:rPr>
        <w:t>（</w:t>
      </w:r>
      <w:r>
        <w:rPr>
          <w:rFonts w:hint="eastAsia"/>
          <w:color w:val="auto"/>
          <w:sz w:val="24"/>
          <w:lang w:val="en-US" w:eastAsia="zh-CN"/>
        </w:rPr>
        <w:t>2</w:t>
      </w:r>
      <w:r>
        <w:rPr>
          <w:rFonts w:hAnsi="宋体"/>
          <w:color w:val="auto"/>
          <w:sz w:val="24"/>
        </w:rPr>
        <w:t>）建筑材料特性及设计参数</w:t>
      </w:r>
      <w:bookmarkEnd w:id="317"/>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textAlignment w:val="auto"/>
        <w:outlineLvl w:val="9"/>
        <w:rPr>
          <w:color w:val="auto"/>
          <w:sz w:val="24"/>
          <w:szCs w:val="24"/>
        </w:rPr>
      </w:pPr>
      <w:r>
        <w:rPr>
          <w:rFonts w:hAnsi="宋体"/>
          <w:color w:val="auto"/>
          <w:sz w:val="24"/>
          <w:szCs w:val="24"/>
        </w:rPr>
        <w:t>浆砌石：</w:t>
      </w:r>
      <w:r>
        <w:rPr>
          <w:color w:val="auto"/>
          <w:sz w:val="24"/>
          <w:szCs w:val="24"/>
        </w:rPr>
        <w:t xml:space="preserve">          </w:t>
      </w:r>
      <w:r>
        <w:rPr>
          <w:color w:val="auto"/>
          <w:sz w:val="24"/>
          <w:szCs w:val="24"/>
        </w:rPr>
        <w:tab/>
      </w:r>
      <w:r>
        <w:rPr>
          <w:color w:val="auto"/>
          <w:sz w:val="24"/>
          <w:szCs w:val="24"/>
        </w:rPr>
        <w:tab/>
      </w:r>
      <w:r>
        <w:rPr>
          <w:color w:val="auto"/>
          <w:sz w:val="24"/>
          <w:szCs w:val="24"/>
        </w:rPr>
        <w:t>22kN/m</w:t>
      </w:r>
      <w:r>
        <w:rPr>
          <w:color w:val="auto"/>
          <w:sz w:val="24"/>
          <w:szCs w:val="24"/>
          <w:vertAlign w:val="superscript"/>
        </w:rPr>
        <w:t>3</w:t>
      </w:r>
      <w:r>
        <w:rPr>
          <w:rFonts w:hAnsi="宋体"/>
          <w:color w:val="auto"/>
          <w:sz w:val="24"/>
          <w:szCs w:val="24"/>
        </w:rPr>
        <w:t>；</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textAlignment w:val="auto"/>
        <w:outlineLvl w:val="9"/>
        <w:rPr>
          <w:color w:val="auto"/>
          <w:sz w:val="24"/>
          <w:szCs w:val="24"/>
        </w:rPr>
      </w:pPr>
      <w:r>
        <w:rPr>
          <w:rFonts w:hAnsi="宋体"/>
          <w:color w:val="auto"/>
          <w:sz w:val="24"/>
          <w:szCs w:val="24"/>
        </w:rPr>
        <w:t>填土湿容重：</w:t>
      </w:r>
      <w:r>
        <w:rPr>
          <w:color w:val="auto"/>
          <w:sz w:val="24"/>
          <w:szCs w:val="24"/>
        </w:rPr>
        <w:t xml:space="preserve">      </w:t>
      </w:r>
      <w:r>
        <w:rPr>
          <w:color w:val="auto"/>
          <w:sz w:val="24"/>
          <w:szCs w:val="24"/>
        </w:rPr>
        <w:tab/>
      </w:r>
      <w:r>
        <w:rPr>
          <w:color w:val="auto"/>
          <w:sz w:val="24"/>
          <w:szCs w:val="24"/>
        </w:rPr>
        <w:tab/>
      </w:r>
      <w:r>
        <w:rPr>
          <w:color w:val="auto"/>
          <w:sz w:val="24"/>
          <w:szCs w:val="24"/>
        </w:rPr>
        <w:t>18.0kN/m</w:t>
      </w:r>
      <w:r>
        <w:rPr>
          <w:color w:val="auto"/>
          <w:sz w:val="24"/>
          <w:szCs w:val="24"/>
          <w:vertAlign w:val="superscript"/>
        </w:rPr>
        <w:t>3</w:t>
      </w:r>
      <w:r>
        <w:rPr>
          <w:rFonts w:hAnsi="宋体"/>
          <w:color w:val="auto"/>
          <w:sz w:val="24"/>
          <w:szCs w:val="24"/>
        </w:rPr>
        <w:t>；</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textAlignment w:val="auto"/>
        <w:outlineLvl w:val="9"/>
        <w:rPr>
          <w:color w:val="auto"/>
          <w:sz w:val="24"/>
          <w:szCs w:val="24"/>
        </w:rPr>
      </w:pPr>
      <w:r>
        <w:rPr>
          <w:rFonts w:hAnsi="宋体"/>
          <w:color w:val="auto"/>
          <w:sz w:val="24"/>
          <w:szCs w:val="24"/>
        </w:rPr>
        <w:t>填土饱和容重：</w:t>
      </w:r>
      <w:r>
        <w:rPr>
          <w:color w:val="auto"/>
          <w:sz w:val="24"/>
          <w:szCs w:val="24"/>
        </w:rPr>
        <w:t xml:space="preserve">    </w:t>
      </w:r>
      <w:r>
        <w:rPr>
          <w:color w:val="auto"/>
          <w:sz w:val="24"/>
          <w:szCs w:val="24"/>
        </w:rPr>
        <w:tab/>
      </w:r>
      <w:r>
        <w:rPr>
          <w:color w:val="auto"/>
          <w:sz w:val="24"/>
          <w:szCs w:val="24"/>
        </w:rPr>
        <w:tab/>
      </w:r>
      <w:r>
        <w:rPr>
          <w:color w:val="auto"/>
          <w:sz w:val="24"/>
          <w:szCs w:val="24"/>
        </w:rPr>
        <w:t>18.5kN/m</w:t>
      </w:r>
      <w:r>
        <w:rPr>
          <w:color w:val="auto"/>
          <w:sz w:val="24"/>
          <w:szCs w:val="24"/>
          <w:vertAlign w:val="superscript"/>
        </w:rPr>
        <w:t>3</w:t>
      </w:r>
      <w:r>
        <w:rPr>
          <w:color w:val="auto"/>
          <w:sz w:val="24"/>
          <w:szCs w:val="24"/>
        </w:rPr>
        <w:t xml:space="preserve"> </w:t>
      </w:r>
      <w:r>
        <w:rPr>
          <w:rFonts w:hAnsi="宋体"/>
          <w:color w:val="auto"/>
          <w:sz w:val="24"/>
          <w:szCs w:val="24"/>
        </w:rPr>
        <w:t>；</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textAlignment w:val="auto"/>
        <w:outlineLvl w:val="9"/>
        <w:rPr>
          <w:color w:val="auto"/>
          <w:sz w:val="24"/>
          <w:szCs w:val="24"/>
        </w:rPr>
      </w:pPr>
      <w:r>
        <w:rPr>
          <w:rFonts w:hAnsi="宋体"/>
          <w:color w:val="auto"/>
          <w:sz w:val="24"/>
          <w:szCs w:val="24"/>
        </w:rPr>
        <w:t>填土综合内摩擦角：</w:t>
      </w:r>
      <w:r>
        <w:rPr>
          <w:color w:val="auto"/>
          <w:sz w:val="24"/>
          <w:szCs w:val="24"/>
        </w:rPr>
        <w:tab/>
      </w:r>
      <w:r>
        <w:rPr>
          <w:color w:val="auto"/>
          <w:sz w:val="24"/>
          <w:szCs w:val="24"/>
        </w:rPr>
        <w:tab/>
      </w:r>
      <w:r>
        <w:rPr>
          <w:color w:val="auto"/>
          <w:sz w:val="24"/>
          <w:szCs w:val="24"/>
        </w:rPr>
        <w:t>Φ=30°</w:t>
      </w:r>
      <w:r>
        <w:rPr>
          <w:rFonts w:hAnsi="宋体"/>
          <w:color w:val="auto"/>
          <w:sz w:val="24"/>
          <w:szCs w:val="24"/>
        </w:rPr>
        <w:t>。</w:t>
      </w:r>
      <w:r>
        <w:rPr>
          <w:color w:val="auto"/>
          <w:sz w:val="24"/>
          <w:szCs w:val="24"/>
        </w:rPr>
        <w:t xml:space="preserve"> </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textAlignment w:val="auto"/>
        <w:outlineLvl w:val="9"/>
        <w:rPr>
          <w:color w:val="auto"/>
          <w:sz w:val="24"/>
        </w:rPr>
      </w:pPr>
      <w:r>
        <w:rPr>
          <w:rFonts w:hAnsi="宋体"/>
          <w:color w:val="auto"/>
          <w:sz w:val="24"/>
        </w:rPr>
        <w:t>（</w:t>
      </w:r>
      <w:r>
        <w:rPr>
          <w:rFonts w:hint="eastAsia"/>
          <w:color w:val="auto"/>
          <w:sz w:val="24"/>
          <w:lang w:val="en-US" w:eastAsia="zh-CN"/>
        </w:rPr>
        <w:t>3</w:t>
      </w:r>
      <w:r>
        <w:rPr>
          <w:rFonts w:hAnsi="宋体"/>
          <w:color w:val="auto"/>
          <w:sz w:val="24"/>
        </w:rPr>
        <w:t>）计算结果</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360" w:firstLineChars="150"/>
        <w:textAlignment w:val="auto"/>
        <w:outlineLvl w:val="9"/>
        <w:rPr>
          <w:rFonts w:hAnsi="宋体"/>
          <w:color w:val="auto"/>
          <w:sz w:val="24"/>
          <w:szCs w:val="24"/>
        </w:rPr>
      </w:pPr>
      <w:r>
        <w:rPr>
          <w:rFonts w:hAnsi="宋体"/>
          <w:color w:val="auto"/>
          <w:sz w:val="24"/>
        </w:rPr>
        <w:t>根据选定的挡墙断面，利用北京理正软件设计研究院编制的理正岩土挡土墙设计软件（</w:t>
      </w:r>
      <w:r>
        <w:rPr>
          <w:color w:val="auto"/>
          <w:sz w:val="24"/>
        </w:rPr>
        <w:t>V6.5PB1</w:t>
      </w:r>
      <w:r>
        <w:rPr>
          <w:rFonts w:hAnsi="宋体"/>
          <w:color w:val="auto"/>
          <w:sz w:val="24"/>
        </w:rPr>
        <w:t>版）进行计算，挡墙稳定及应力计算成果见表</w:t>
      </w:r>
      <w:r>
        <w:rPr>
          <w:color w:val="auto"/>
          <w:sz w:val="24"/>
        </w:rPr>
        <w:t>5-</w:t>
      </w:r>
      <w:r>
        <w:rPr>
          <w:rFonts w:hint="eastAsia"/>
          <w:color w:val="auto"/>
          <w:sz w:val="24"/>
          <w:lang w:val="en-US" w:eastAsia="zh-CN"/>
        </w:rPr>
        <w:t>4</w:t>
      </w:r>
      <w:r>
        <w:rPr>
          <w:rFonts w:hAnsi="宋体"/>
          <w:color w:val="auto"/>
          <w:sz w:val="24"/>
        </w:rPr>
        <w:t>。</w:t>
      </w:r>
    </w:p>
    <w:p>
      <w:pPr>
        <w:spacing w:line="240" w:lineRule="auto"/>
        <w:ind w:firstLine="1440" w:firstLineChars="600"/>
        <w:rPr>
          <w:color w:val="auto"/>
          <w:sz w:val="24"/>
          <w:szCs w:val="24"/>
        </w:rPr>
      </w:pPr>
      <w:r>
        <w:rPr>
          <w:rFonts w:hAnsi="宋体"/>
          <w:color w:val="auto"/>
          <w:sz w:val="24"/>
          <w:szCs w:val="24"/>
        </w:rPr>
        <w:t>表</w:t>
      </w:r>
      <w:r>
        <w:rPr>
          <w:color w:val="auto"/>
          <w:sz w:val="24"/>
          <w:szCs w:val="24"/>
        </w:rPr>
        <w:t>5</w:t>
      </w:r>
      <w:r>
        <w:rPr>
          <w:rFonts w:hint="eastAsia"/>
          <w:color w:val="auto"/>
          <w:sz w:val="24"/>
          <w:szCs w:val="24"/>
          <w:lang w:val="en-US" w:eastAsia="zh-CN"/>
        </w:rPr>
        <w:t>-4</w:t>
      </w:r>
      <w:r>
        <w:rPr>
          <w:color w:val="auto"/>
          <w:sz w:val="24"/>
          <w:szCs w:val="24"/>
        </w:rPr>
        <w:t xml:space="preserve">     </w:t>
      </w:r>
      <w:r>
        <w:rPr>
          <w:rFonts w:hAnsi="宋体"/>
          <w:color w:val="auto"/>
          <w:sz w:val="24"/>
          <w:szCs w:val="24"/>
        </w:rPr>
        <w:t>重力式挡墙（</w:t>
      </w:r>
      <w:r>
        <w:rPr>
          <w:rFonts w:hint="eastAsia"/>
          <w:color w:val="auto"/>
          <w:sz w:val="24"/>
          <w:szCs w:val="24"/>
          <w:lang w:val="en-US" w:eastAsia="zh-CN"/>
        </w:rPr>
        <w:t>3.2</w:t>
      </w:r>
      <w:r>
        <w:rPr>
          <w:rFonts w:hAnsi="宋体"/>
          <w:color w:val="auto"/>
          <w:sz w:val="24"/>
          <w:szCs w:val="24"/>
        </w:rPr>
        <w:t>米）稳定计算成果表</w:t>
      </w:r>
    </w:p>
    <w:tbl>
      <w:tblPr>
        <w:tblStyle w:val="47"/>
        <w:tblpPr w:leftFromText="180" w:rightFromText="180" w:vertAnchor="text" w:horzAnchor="page" w:tblpX="2671" w:tblpY="219"/>
        <w:tblOverlap w:val="never"/>
        <w:tblW w:w="0" w:type="auto"/>
        <w:tblInd w:w="0" w:type="dxa"/>
        <w:tblLayout w:type="fixed"/>
        <w:tblCellMar>
          <w:top w:w="0" w:type="dxa"/>
          <w:left w:w="108" w:type="dxa"/>
          <w:bottom w:w="0" w:type="dxa"/>
          <w:right w:w="108" w:type="dxa"/>
        </w:tblCellMar>
      </w:tblPr>
      <w:tblGrid>
        <w:gridCol w:w="1586"/>
        <w:gridCol w:w="2405"/>
        <w:gridCol w:w="2265"/>
      </w:tblGrid>
      <w:tr>
        <w:tblPrEx>
          <w:tblCellMar>
            <w:top w:w="0" w:type="dxa"/>
            <w:left w:w="108" w:type="dxa"/>
            <w:bottom w:w="0" w:type="dxa"/>
            <w:right w:w="108" w:type="dxa"/>
          </w:tblCellMar>
        </w:tblPrEx>
        <w:trPr>
          <w:trHeight w:val="510" w:hRule="atLeast"/>
        </w:trPr>
        <w:tc>
          <w:tcPr>
            <w:tcW w:w="1586" w:type="dxa"/>
            <w:vMerge w:val="restart"/>
            <w:tcBorders>
              <w:top w:val="single" w:color="auto" w:sz="4" w:space="0"/>
              <w:left w:val="single" w:color="auto" w:sz="4" w:space="0"/>
              <w:bottom w:val="single" w:color="auto" w:sz="4" w:space="0"/>
              <w:right w:val="single" w:color="auto" w:sz="4" w:space="0"/>
            </w:tcBorders>
            <w:noWrap w:val="0"/>
            <w:vAlign w:val="center"/>
          </w:tcPr>
          <w:p>
            <w:pPr>
              <w:pStyle w:val="272"/>
              <w:rPr>
                <w:rFonts w:hAnsi="Times New Roman"/>
                <w:snapToGrid w:val="0"/>
                <w:color w:val="auto"/>
                <w:kern w:val="0"/>
                <w:sz w:val="21"/>
                <w:szCs w:val="21"/>
              </w:rPr>
            </w:pPr>
            <w:r>
              <w:rPr>
                <w:snapToGrid w:val="0"/>
                <w:color w:val="auto"/>
                <w:kern w:val="0"/>
                <w:sz w:val="21"/>
                <w:szCs w:val="21"/>
              </w:rPr>
              <w:t>抗滑抗倾稳定</w:t>
            </w:r>
          </w:p>
        </w:tc>
        <w:tc>
          <w:tcPr>
            <w:tcW w:w="2405" w:type="dxa"/>
            <w:tcBorders>
              <w:top w:val="single" w:color="auto" w:sz="4" w:space="0"/>
              <w:left w:val="single" w:color="auto" w:sz="4" w:space="0"/>
              <w:bottom w:val="single" w:color="auto" w:sz="4" w:space="0"/>
              <w:right w:val="single" w:color="auto" w:sz="4" w:space="0"/>
            </w:tcBorders>
            <w:noWrap w:val="0"/>
            <w:vAlign w:val="center"/>
          </w:tcPr>
          <w:p>
            <w:pPr>
              <w:pStyle w:val="272"/>
              <w:rPr>
                <w:rFonts w:hAnsi="Times New Roman"/>
                <w:snapToGrid w:val="0"/>
                <w:color w:val="auto"/>
                <w:kern w:val="0"/>
                <w:sz w:val="21"/>
                <w:szCs w:val="21"/>
              </w:rPr>
            </w:pPr>
            <w:r>
              <w:rPr>
                <w:snapToGrid w:val="0"/>
                <w:color w:val="auto"/>
                <w:kern w:val="0"/>
                <w:sz w:val="21"/>
                <w:szCs w:val="21"/>
              </w:rPr>
              <w:t>抗滑</w:t>
            </w:r>
          </w:p>
        </w:tc>
        <w:tc>
          <w:tcPr>
            <w:tcW w:w="2265" w:type="dxa"/>
            <w:tcBorders>
              <w:top w:val="single" w:color="auto" w:sz="4" w:space="0"/>
              <w:left w:val="single" w:color="auto" w:sz="4" w:space="0"/>
              <w:bottom w:val="single" w:color="auto" w:sz="4" w:space="0"/>
              <w:right w:val="single" w:color="auto" w:sz="4" w:space="0"/>
            </w:tcBorders>
            <w:noWrap w:val="0"/>
            <w:vAlign w:val="center"/>
          </w:tcPr>
          <w:p>
            <w:pPr>
              <w:kinsoku/>
              <w:wordWrap/>
              <w:overflowPunct/>
              <w:topLinePunct w:val="0"/>
              <w:autoSpaceDE/>
              <w:autoSpaceDN/>
              <w:bidi w:val="0"/>
              <w:spacing w:line="360" w:lineRule="auto"/>
              <w:ind w:firstLine="0" w:firstLineChars="0"/>
              <w:jc w:val="center"/>
              <w:rPr>
                <w:rFonts w:hint="default"/>
                <w:snapToGrid w:val="0"/>
                <w:color w:val="auto"/>
                <w:kern w:val="0"/>
                <w:sz w:val="21"/>
                <w:szCs w:val="21"/>
                <w:lang w:val="en-US"/>
              </w:rPr>
            </w:pPr>
            <w:r>
              <w:rPr>
                <w:rFonts w:hint="eastAsia" w:ascii="宋体" w:hAnsi="宋体" w:cs="宋体"/>
                <w:color w:val="auto"/>
                <w:sz w:val="21"/>
                <w:szCs w:val="21"/>
                <w:highlight w:val="none"/>
                <w:lang w:val="en-US" w:eastAsia="zh-CN"/>
              </w:rPr>
              <w:t>1.348</w:t>
            </w:r>
          </w:p>
        </w:tc>
      </w:tr>
      <w:tr>
        <w:tblPrEx>
          <w:tblCellMar>
            <w:top w:w="0" w:type="dxa"/>
            <w:left w:w="108" w:type="dxa"/>
            <w:bottom w:w="0" w:type="dxa"/>
            <w:right w:w="108" w:type="dxa"/>
          </w:tblCellMar>
        </w:tblPrEx>
        <w:trPr>
          <w:trHeight w:val="510" w:hRule="atLeast"/>
        </w:trPr>
        <w:tc>
          <w:tcPr>
            <w:tcW w:w="1586" w:type="dxa"/>
            <w:vMerge w:val="continue"/>
            <w:tcBorders>
              <w:top w:val="single" w:color="auto" w:sz="4" w:space="0"/>
              <w:left w:val="single" w:color="auto" w:sz="4" w:space="0"/>
              <w:bottom w:val="single" w:color="auto" w:sz="4" w:space="0"/>
              <w:right w:val="single" w:color="auto" w:sz="4" w:space="0"/>
            </w:tcBorders>
            <w:noWrap w:val="0"/>
            <w:vAlign w:val="center"/>
          </w:tcPr>
          <w:p>
            <w:pPr>
              <w:pStyle w:val="272"/>
              <w:rPr>
                <w:rFonts w:hAnsi="Times New Roman"/>
                <w:snapToGrid w:val="0"/>
                <w:color w:val="auto"/>
                <w:kern w:val="0"/>
                <w:sz w:val="21"/>
                <w:szCs w:val="21"/>
              </w:rPr>
            </w:pPr>
          </w:p>
        </w:tc>
        <w:tc>
          <w:tcPr>
            <w:tcW w:w="2405" w:type="dxa"/>
            <w:tcBorders>
              <w:top w:val="single" w:color="auto" w:sz="4" w:space="0"/>
              <w:left w:val="single" w:color="auto" w:sz="4" w:space="0"/>
              <w:bottom w:val="single" w:color="auto" w:sz="4" w:space="0"/>
              <w:right w:val="single" w:color="auto" w:sz="4" w:space="0"/>
            </w:tcBorders>
            <w:noWrap w:val="0"/>
            <w:vAlign w:val="center"/>
          </w:tcPr>
          <w:p>
            <w:pPr>
              <w:pStyle w:val="272"/>
              <w:rPr>
                <w:rFonts w:hAnsi="Times New Roman"/>
                <w:snapToGrid w:val="0"/>
                <w:color w:val="auto"/>
                <w:kern w:val="0"/>
                <w:sz w:val="21"/>
                <w:szCs w:val="21"/>
              </w:rPr>
            </w:pPr>
            <w:r>
              <w:rPr>
                <w:snapToGrid w:val="0"/>
                <w:color w:val="auto"/>
                <w:kern w:val="0"/>
                <w:sz w:val="21"/>
                <w:szCs w:val="21"/>
              </w:rPr>
              <w:t>规范允许值</w:t>
            </w:r>
          </w:p>
        </w:tc>
        <w:tc>
          <w:tcPr>
            <w:tcW w:w="2265" w:type="dxa"/>
            <w:tcBorders>
              <w:top w:val="single" w:color="auto" w:sz="4" w:space="0"/>
              <w:left w:val="single" w:color="auto" w:sz="4" w:space="0"/>
              <w:bottom w:val="single" w:color="auto" w:sz="4" w:space="0"/>
              <w:right w:val="single" w:color="auto" w:sz="4" w:space="0"/>
            </w:tcBorders>
            <w:noWrap w:val="0"/>
            <w:vAlign w:val="center"/>
          </w:tcPr>
          <w:p>
            <w:pPr>
              <w:kinsoku/>
              <w:wordWrap/>
              <w:overflowPunct/>
              <w:topLinePunct w:val="0"/>
              <w:autoSpaceDE/>
              <w:autoSpaceDN/>
              <w:bidi w:val="0"/>
              <w:spacing w:line="360" w:lineRule="auto"/>
              <w:ind w:firstLine="0" w:firstLineChars="0"/>
              <w:jc w:val="center"/>
              <w:rPr>
                <w:snapToGrid w:val="0"/>
                <w:color w:val="auto"/>
                <w:kern w:val="0"/>
                <w:sz w:val="21"/>
                <w:szCs w:val="21"/>
              </w:rPr>
            </w:pPr>
            <w:r>
              <w:rPr>
                <w:rFonts w:hint="eastAsia" w:ascii="宋体" w:hAnsi="宋体" w:eastAsia="宋体" w:cs="宋体"/>
                <w:color w:val="auto"/>
                <w:sz w:val="21"/>
                <w:szCs w:val="21"/>
                <w:highlight w:val="none"/>
                <w:lang w:val="en-US" w:eastAsia="zh-CN"/>
              </w:rPr>
              <w:t>1.20</w:t>
            </w:r>
          </w:p>
        </w:tc>
      </w:tr>
      <w:tr>
        <w:tblPrEx>
          <w:tblCellMar>
            <w:top w:w="0" w:type="dxa"/>
            <w:left w:w="108" w:type="dxa"/>
            <w:bottom w:w="0" w:type="dxa"/>
            <w:right w:w="108" w:type="dxa"/>
          </w:tblCellMar>
        </w:tblPrEx>
        <w:trPr>
          <w:trHeight w:val="510" w:hRule="atLeast"/>
        </w:trPr>
        <w:tc>
          <w:tcPr>
            <w:tcW w:w="1586" w:type="dxa"/>
            <w:vMerge w:val="continue"/>
            <w:tcBorders>
              <w:top w:val="single" w:color="auto" w:sz="4" w:space="0"/>
              <w:left w:val="single" w:color="auto" w:sz="4" w:space="0"/>
              <w:bottom w:val="single" w:color="auto" w:sz="4" w:space="0"/>
              <w:right w:val="single" w:color="auto" w:sz="4" w:space="0"/>
            </w:tcBorders>
            <w:noWrap w:val="0"/>
            <w:vAlign w:val="center"/>
          </w:tcPr>
          <w:p>
            <w:pPr>
              <w:pStyle w:val="272"/>
              <w:rPr>
                <w:rFonts w:hAnsi="Times New Roman"/>
                <w:snapToGrid w:val="0"/>
                <w:color w:val="auto"/>
                <w:kern w:val="0"/>
                <w:sz w:val="21"/>
                <w:szCs w:val="21"/>
              </w:rPr>
            </w:pPr>
          </w:p>
        </w:tc>
        <w:tc>
          <w:tcPr>
            <w:tcW w:w="2405" w:type="dxa"/>
            <w:tcBorders>
              <w:top w:val="single" w:color="auto" w:sz="4" w:space="0"/>
              <w:left w:val="single" w:color="auto" w:sz="4" w:space="0"/>
              <w:bottom w:val="single" w:color="auto" w:sz="4" w:space="0"/>
              <w:right w:val="single" w:color="auto" w:sz="4" w:space="0"/>
            </w:tcBorders>
            <w:noWrap w:val="0"/>
            <w:vAlign w:val="center"/>
          </w:tcPr>
          <w:p>
            <w:pPr>
              <w:pStyle w:val="272"/>
              <w:rPr>
                <w:rFonts w:hAnsi="Times New Roman"/>
                <w:snapToGrid w:val="0"/>
                <w:color w:val="auto"/>
                <w:kern w:val="0"/>
                <w:sz w:val="21"/>
                <w:szCs w:val="21"/>
              </w:rPr>
            </w:pPr>
            <w:r>
              <w:rPr>
                <w:snapToGrid w:val="0"/>
                <w:color w:val="auto"/>
                <w:kern w:val="0"/>
                <w:sz w:val="21"/>
                <w:szCs w:val="21"/>
              </w:rPr>
              <w:t>抗倾</w:t>
            </w:r>
          </w:p>
        </w:tc>
        <w:tc>
          <w:tcPr>
            <w:tcW w:w="2265" w:type="dxa"/>
            <w:tcBorders>
              <w:top w:val="single" w:color="auto" w:sz="4" w:space="0"/>
              <w:left w:val="single" w:color="auto" w:sz="4" w:space="0"/>
              <w:bottom w:val="single" w:color="auto" w:sz="4" w:space="0"/>
              <w:right w:val="single" w:color="auto" w:sz="4" w:space="0"/>
            </w:tcBorders>
            <w:noWrap w:val="0"/>
            <w:vAlign w:val="center"/>
          </w:tcPr>
          <w:p>
            <w:pPr>
              <w:kinsoku/>
              <w:wordWrap/>
              <w:overflowPunct/>
              <w:topLinePunct w:val="0"/>
              <w:autoSpaceDE/>
              <w:autoSpaceDN/>
              <w:bidi w:val="0"/>
              <w:spacing w:line="360" w:lineRule="auto"/>
              <w:ind w:firstLine="0" w:firstLineChars="0"/>
              <w:jc w:val="center"/>
              <w:rPr>
                <w:snapToGrid w:val="0"/>
                <w:color w:val="auto"/>
                <w:kern w:val="0"/>
                <w:sz w:val="21"/>
                <w:szCs w:val="21"/>
              </w:rPr>
            </w:pPr>
            <w:r>
              <w:rPr>
                <w:rFonts w:hint="eastAsia" w:ascii="宋体" w:hAnsi="宋体" w:eastAsia="宋体" w:cs="宋体"/>
                <w:color w:val="auto"/>
                <w:sz w:val="21"/>
                <w:szCs w:val="21"/>
                <w:highlight w:val="none"/>
                <w:lang w:val="en-US" w:eastAsia="zh-CN"/>
              </w:rPr>
              <w:t>2.825</w:t>
            </w:r>
          </w:p>
        </w:tc>
      </w:tr>
      <w:tr>
        <w:tblPrEx>
          <w:tblCellMar>
            <w:top w:w="0" w:type="dxa"/>
            <w:left w:w="108" w:type="dxa"/>
            <w:bottom w:w="0" w:type="dxa"/>
            <w:right w:w="108" w:type="dxa"/>
          </w:tblCellMar>
        </w:tblPrEx>
        <w:trPr>
          <w:trHeight w:val="510" w:hRule="atLeast"/>
        </w:trPr>
        <w:tc>
          <w:tcPr>
            <w:tcW w:w="1586" w:type="dxa"/>
            <w:vMerge w:val="continue"/>
            <w:tcBorders>
              <w:top w:val="single" w:color="auto" w:sz="4" w:space="0"/>
              <w:left w:val="single" w:color="auto" w:sz="4" w:space="0"/>
              <w:bottom w:val="single" w:color="auto" w:sz="4" w:space="0"/>
              <w:right w:val="single" w:color="auto" w:sz="4" w:space="0"/>
            </w:tcBorders>
            <w:noWrap w:val="0"/>
            <w:vAlign w:val="center"/>
          </w:tcPr>
          <w:p>
            <w:pPr>
              <w:pStyle w:val="272"/>
              <w:rPr>
                <w:rFonts w:hAnsi="Times New Roman"/>
                <w:snapToGrid w:val="0"/>
                <w:color w:val="auto"/>
                <w:kern w:val="0"/>
                <w:sz w:val="21"/>
                <w:szCs w:val="21"/>
              </w:rPr>
            </w:pPr>
          </w:p>
        </w:tc>
        <w:tc>
          <w:tcPr>
            <w:tcW w:w="2405" w:type="dxa"/>
            <w:tcBorders>
              <w:top w:val="single" w:color="auto" w:sz="4" w:space="0"/>
              <w:left w:val="single" w:color="auto" w:sz="4" w:space="0"/>
              <w:bottom w:val="single" w:color="auto" w:sz="4" w:space="0"/>
              <w:right w:val="single" w:color="auto" w:sz="4" w:space="0"/>
            </w:tcBorders>
            <w:noWrap w:val="0"/>
            <w:vAlign w:val="center"/>
          </w:tcPr>
          <w:p>
            <w:pPr>
              <w:pStyle w:val="272"/>
              <w:rPr>
                <w:rFonts w:hAnsi="Times New Roman"/>
                <w:snapToGrid w:val="0"/>
                <w:color w:val="auto"/>
                <w:kern w:val="0"/>
                <w:sz w:val="21"/>
                <w:szCs w:val="21"/>
              </w:rPr>
            </w:pPr>
            <w:r>
              <w:rPr>
                <w:snapToGrid w:val="0"/>
                <w:color w:val="auto"/>
                <w:kern w:val="0"/>
                <w:sz w:val="21"/>
                <w:szCs w:val="21"/>
              </w:rPr>
              <w:t>规范允许值</w:t>
            </w:r>
          </w:p>
        </w:tc>
        <w:tc>
          <w:tcPr>
            <w:tcW w:w="2265" w:type="dxa"/>
            <w:tcBorders>
              <w:top w:val="single" w:color="auto" w:sz="4" w:space="0"/>
              <w:left w:val="single" w:color="auto" w:sz="4" w:space="0"/>
              <w:bottom w:val="single" w:color="auto" w:sz="4" w:space="0"/>
              <w:right w:val="single" w:color="auto" w:sz="4" w:space="0"/>
            </w:tcBorders>
            <w:noWrap w:val="0"/>
            <w:vAlign w:val="center"/>
          </w:tcPr>
          <w:p>
            <w:pPr>
              <w:kinsoku/>
              <w:wordWrap/>
              <w:overflowPunct/>
              <w:topLinePunct w:val="0"/>
              <w:autoSpaceDE/>
              <w:autoSpaceDN/>
              <w:bidi w:val="0"/>
              <w:spacing w:line="360" w:lineRule="auto"/>
              <w:ind w:firstLine="0" w:firstLineChars="0"/>
              <w:jc w:val="center"/>
              <w:rPr>
                <w:snapToGrid w:val="0"/>
                <w:color w:val="auto"/>
                <w:kern w:val="0"/>
                <w:sz w:val="21"/>
                <w:szCs w:val="21"/>
              </w:rPr>
            </w:pPr>
            <w:r>
              <w:rPr>
                <w:rFonts w:hint="eastAsia" w:ascii="宋体" w:hAnsi="宋体" w:eastAsia="宋体" w:cs="宋体"/>
                <w:color w:val="auto"/>
                <w:sz w:val="21"/>
                <w:szCs w:val="21"/>
                <w:highlight w:val="none"/>
                <w:lang w:val="en-US" w:eastAsia="zh-CN"/>
              </w:rPr>
              <w:t>1.40</w:t>
            </w:r>
          </w:p>
        </w:tc>
      </w:tr>
      <w:tr>
        <w:tblPrEx>
          <w:tblCellMar>
            <w:top w:w="0" w:type="dxa"/>
            <w:left w:w="108" w:type="dxa"/>
            <w:bottom w:w="0" w:type="dxa"/>
            <w:right w:w="108" w:type="dxa"/>
          </w:tblCellMar>
        </w:tblPrEx>
        <w:trPr>
          <w:trHeight w:val="510" w:hRule="atLeast"/>
        </w:trPr>
        <w:tc>
          <w:tcPr>
            <w:tcW w:w="1586" w:type="dxa"/>
            <w:vMerge w:val="restart"/>
            <w:tcBorders>
              <w:top w:val="single" w:color="auto" w:sz="4" w:space="0"/>
              <w:left w:val="single" w:color="auto" w:sz="4" w:space="0"/>
              <w:bottom w:val="single" w:color="auto" w:sz="4" w:space="0"/>
              <w:right w:val="single" w:color="auto" w:sz="4" w:space="0"/>
            </w:tcBorders>
            <w:noWrap w:val="0"/>
            <w:vAlign w:val="center"/>
          </w:tcPr>
          <w:p>
            <w:pPr>
              <w:pStyle w:val="272"/>
              <w:rPr>
                <w:rFonts w:hAnsi="Times New Roman"/>
                <w:snapToGrid w:val="0"/>
                <w:color w:val="auto"/>
                <w:kern w:val="0"/>
                <w:sz w:val="21"/>
                <w:szCs w:val="21"/>
              </w:rPr>
            </w:pPr>
            <w:r>
              <w:rPr>
                <w:snapToGrid w:val="0"/>
                <w:color w:val="auto"/>
                <w:kern w:val="0"/>
                <w:sz w:val="21"/>
                <w:szCs w:val="21"/>
              </w:rPr>
              <w:t>基底应力比</w:t>
            </w:r>
          </w:p>
        </w:tc>
        <w:tc>
          <w:tcPr>
            <w:tcW w:w="2405" w:type="dxa"/>
            <w:tcBorders>
              <w:top w:val="single" w:color="auto" w:sz="4" w:space="0"/>
              <w:left w:val="single" w:color="auto" w:sz="4" w:space="0"/>
              <w:bottom w:val="single" w:color="auto" w:sz="4" w:space="0"/>
              <w:right w:val="single" w:color="auto" w:sz="4" w:space="0"/>
            </w:tcBorders>
            <w:noWrap w:val="0"/>
            <w:vAlign w:val="center"/>
          </w:tcPr>
          <w:p>
            <w:pPr>
              <w:pStyle w:val="272"/>
              <w:rPr>
                <w:rFonts w:hAnsi="Times New Roman"/>
                <w:snapToGrid w:val="0"/>
                <w:color w:val="auto"/>
                <w:kern w:val="0"/>
                <w:sz w:val="21"/>
                <w:szCs w:val="21"/>
              </w:rPr>
            </w:pPr>
            <w:r>
              <w:rPr>
                <w:snapToGrid w:val="0"/>
                <w:color w:val="auto"/>
                <w:kern w:val="0"/>
                <w:sz w:val="21"/>
                <w:szCs w:val="21"/>
              </w:rPr>
              <w:t>最大值（</w:t>
            </w:r>
            <w:r>
              <w:rPr>
                <w:rFonts w:hAnsi="Times New Roman"/>
                <w:snapToGrid w:val="0"/>
                <w:color w:val="auto"/>
                <w:kern w:val="0"/>
                <w:sz w:val="21"/>
                <w:szCs w:val="21"/>
              </w:rPr>
              <w:t>KPa</w:t>
            </w:r>
            <w:r>
              <w:rPr>
                <w:snapToGrid w:val="0"/>
                <w:color w:val="auto"/>
                <w:kern w:val="0"/>
                <w:sz w:val="21"/>
                <w:szCs w:val="21"/>
              </w:rPr>
              <w:t>）</w:t>
            </w:r>
          </w:p>
        </w:tc>
        <w:tc>
          <w:tcPr>
            <w:tcW w:w="2265" w:type="dxa"/>
            <w:tcBorders>
              <w:top w:val="single" w:color="auto" w:sz="4" w:space="0"/>
              <w:left w:val="single" w:color="auto" w:sz="4" w:space="0"/>
              <w:bottom w:val="single" w:color="auto" w:sz="4" w:space="0"/>
              <w:right w:val="single" w:color="auto" w:sz="4" w:space="0"/>
            </w:tcBorders>
            <w:noWrap w:val="0"/>
            <w:vAlign w:val="center"/>
          </w:tcPr>
          <w:p>
            <w:pPr>
              <w:kinsoku/>
              <w:wordWrap/>
              <w:overflowPunct/>
              <w:topLinePunct w:val="0"/>
              <w:autoSpaceDE/>
              <w:autoSpaceDN/>
              <w:bidi w:val="0"/>
              <w:spacing w:line="360" w:lineRule="auto"/>
              <w:ind w:firstLine="0" w:firstLineChars="0"/>
              <w:jc w:val="center"/>
              <w:rPr>
                <w:rFonts w:hint="default"/>
                <w:snapToGrid w:val="0"/>
                <w:color w:val="auto"/>
                <w:kern w:val="0"/>
                <w:sz w:val="21"/>
                <w:szCs w:val="21"/>
                <w:lang w:val="en-US"/>
              </w:rPr>
            </w:pPr>
            <w:r>
              <w:rPr>
                <w:rFonts w:hint="eastAsia" w:ascii="宋体" w:hAnsi="宋体" w:cs="宋体"/>
                <w:color w:val="auto"/>
                <w:sz w:val="21"/>
                <w:szCs w:val="21"/>
                <w:highlight w:val="none"/>
                <w:lang w:val="en-US" w:eastAsia="zh-CN"/>
              </w:rPr>
              <w:t>84</w:t>
            </w:r>
            <w:r>
              <w:rPr>
                <w:rFonts w:hint="eastAsia" w:ascii="宋体" w:hAnsi="宋体" w:eastAsia="宋体" w:cs="宋体"/>
                <w:color w:val="auto"/>
                <w:sz w:val="21"/>
                <w:szCs w:val="21"/>
                <w:highlight w:val="none"/>
                <w:lang w:val="en-US" w:eastAsia="zh-CN"/>
              </w:rPr>
              <w:t>.</w:t>
            </w:r>
            <w:r>
              <w:rPr>
                <w:rFonts w:hint="eastAsia" w:ascii="宋体" w:hAnsi="宋体" w:cs="宋体"/>
                <w:color w:val="auto"/>
                <w:sz w:val="21"/>
                <w:szCs w:val="21"/>
                <w:highlight w:val="none"/>
                <w:lang w:val="en-US" w:eastAsia="zh-CN"/>
              </w:rPr>
              <w:t>24</w:t>
            </w:r>
          </w:p>
        </w:tc>
      </w:tr>
      <w:tr>
        <w:tblPrEx>
          <w:tblCellMar>
            <w:top w:w="0" w:type="dxa"/>
            <w:left w:w="108" w:type="dxa"/>
            <w:bottom w:w="0" w:type="dxa"/>
            <w:right w:w="108" w:type="dxa"/>
          </w:tblCellMar>
        </w:tblPrEx>
        <w:trPr>
          <w:trHeight w:val="510" w:hRule="atLeast"/>
        </w:trPr>
        <w:tc>
          <w:tcPr>
            <w:tcW w:w="1586" w:type="dxa"/>
            <w:vMerge w:val="continue"/>
            <w:tcBorders>
              <w:top w:val="single" w:color="auto" w:sz="4" w:space="0"/>
              <w:left w:val="single" w:color="auto" w:sz="4" w:space="0"/>
              <w:bottom w:val="single" w:color="auto" w:sz="4" w:space="0"/>
              <w:right w:val="single" w:color="auto" w:sz="4" w:space="0"/>
            </w:tcBorders>
            <w:noWrap w:val="0"/>
            <w:vAlign w:val="center"/>
          </w:tcPr>
          <w:p>
            <w:pPr>
              <w:pStyle w:val="272"/>
              <w:rPr>
                <w:rFonts w:hAnsi="Times New Roman"/>
                <w:snapToGrid w:val="0"/>
                <w:color w:val="auto"/>
                <w:kern w:val="0"/>
                <w:sz w:val="21"/>
                <w:szCs w:val="21"/>
              </w:rPr>
            </w:pPr>
          </w:p>
        </w:tc>
        <w:tc>
          <w:tcPr>
            <w:tcW w:w="2405" w:type="dxa"/>
            <w:tcBorders>
              <w:top w:val="single" w:color="auto" w:sz="4" w:space="0"/>
              <w:left w:val="single" w:color="auto" w:sz="4" w:space="0"/>
              <w:bottom w:val="single" w:color="auto" w:sz="4" w:space="0"/>
              <w:right w:val="single" w:color="auto" w:sz="4" w:space="0"/>
            </w:tcBorders>
            <w:noWrap w:val="0"/>
            <w:vAlign w:val="center"/>
          </w:tcPr>
          <w:p>
            <w:pPr>
              <w:pStyle w:val="272"/>
              <w:rPr>
                <w:rFonts w:hAnsi="Times New Roman"/>
                <w:snapToGrid w:val="0"/>
                <w:color w:val="auto"/>
                <w:kern w:val="0"/>
                <w:sz w:val="21"/>
                <w:szCs w:val="21"/>
              </w:rPr>
            </w:pPr>
            <w:r>
              <w:rPr>
                <w:snapToGrid w:val="0"/>
                <w:color w:val="auto"/>
                <w:kern w:val="0"/>
                <w:sz w:val="21"/>
                <w:szCs w:val="21"/>
              </w:rPr>
              <w:t>最小值（</w:t>
            </w:r>
            <w:r>
              <w:rPr>
                <w:rFonts w:hAnsi="Times New Roman"/>
                <w:snapToGrid w:val="0"/>
                <w:color w:val="auto"/>
                <w:kern w:val="0"/>
                <w:sz w:val="21"/>
                <w:szCs w:val="21"/>
              </w:rPr>
              <w:t>KPa</w:t>
            </w:r>
            <w:r>
              <w:rPr>
                <w:snapToGrid w:val="0"/>
                <w:color w:val="auto"/>
                <w:kern w:val="0"/>
                <w:sz w:val="21"/>
                <w:szCs w:val="21"/>
              </w:rPr>
              <w:t>）</w:t>
            </w:r>
          </w:p>
        </w:tc>
        <w:tc>
          <w:tcPr>
            <w:tcW w:w="2265" w:type="dxa"/>
            <w:tcBorders>
              <w:top w:val="single" w:color="auto" w:sz="4" w:space="0"/>
              <w:left w:val="single" w:color="auto" w:sz="4" w:space="0"/>
              <w:bottom w:val="single" w:color="auto" w:sz="4" w:space="0"/>
              <w:right w:val="single" w:color="auto" w:sz="4" w:space="0"/>
            </w:tcBorders>
            <w:noWrap w:val="0"/>
            <w:vAlign w:val="center"/>
          </w:tcPr>
          <w:p>
            <w:pPr>
              <w:kinsoku/>
              <w:wordWrap/>
              <w:overflowPunct/>
              <w:topLinePunct w:val="0"/>
              <w:autoSpaceDE/>
              <w:autoSpaceDN/>
              <w:bidi w:val="0"/>
              <w:spacing w:line="360" w:lineRule="auto"/>
              <w:ind w:firstLine="0" w:firstLineChars="0"/>
              <w:jc w:val="center"/>
              <w:rPr>
                <w:snapToGrid w:val="0"/>
                <w:color w:val="auto"/>
                <w:kern w:val="0"/>
                <w:sz w:val="21"/>
                <w:szCs w:val="21"/>
              </w:rPr>
            </w:pPr>
            <w:r>
              <w:rPr>
                <w:rFonts w:hint="eastAsia" w:ascii="宋体" w:hAnsi="宋体" w:cs="宋体"/>
                <w:color w:val="auto"/>
                <w:sz w:val="21"/>
                <w:szCs w:val="21"/>
                <w:highlight w:val="none"/>
                <w:lang w:val="en-US" w:eastAsia="zh-CN"/>
              </w:rPr>
              <w:t>6</w:t>
            </w:r>
            <w:r>
              <w:rPr>
                <w:rFonts w:hint="eastAsia" w:ascii="宋体" w:hAnsi="宋体" w:eastAsia="宋体" w:cs="宋体"/>
                <w:color w:val="auto"/>
                <w:sz w:val="21"/>
                <w:szCs w:val="21"/>
                <w:highlight w:val="none"/>
                <w:lang w:val="en-US" w:eastAsia="zh-CN"/>
              </w:rPr>
              <w:t>5.3</w:t>
            </w:r>
            <w:r>
              <w:rPr>
                <w:rFonts w:hint="eastAsia" w:ascii="宋体" w:hAnsi="宋体" w:cs="宋体"/>
                <w:color w:val="auto"/>
                <w:sz w:val="21"/>
                <w:szCs w:val="21"/>
                <w:highlight w:val="none"/>
                <w:lang w:val="en-US" w:eastAsia="zh-CN"/>
              </w:rPr>
              <w:t>9</w:t>
            </w:r>
          </w:p>
        </w:tc>
      </w:tr>
      <w:tr>
        <w:tblPrEx>
          <w:tblCellMar>
            <w:top w:w="0" w:type="dxa"/>
            <w:left w:w="108" w:type="dxa"/>
            <w:bottom w:w="0" w:type="dxa"/>
            <w:right w:w="108" w:type="dxa"/>
          </w:tblCellMar>
        </w:tblPrEx>
        <w:trPr>
          <w:trHeight w:val="510" w:hRule="atLeast"/>
        </w:trPr>
        <w:tc>
          <w:tcPr>
            <w:tcW w:w="1586" w:type="dxa"/>
            <w:vMerge w:val="continue"/>
            <w:tcBorders>
              <w:top w:val="single" w:color="auto" w:sz="4" w:space="0"/>
              <w:left w:val="single" w:color="auto" w:sz="4" w:space="0"/>
              <w:bottom w:val="single" w:color="auto" w:sz="4" w:space="0"/>
              <w:right w:val="single" w:color="auto" w:sz="4" w:space="0"/>
            </w:tcBorders>
            <w:noWrap w:val="0"/>
            <w:vAlign w:val="center"/>
          </w:tcPr>
          <w:p>
            <w:pPr>
              <w:pStyle w:val="272"/>
              <w:rPr>
                <w:rFonts w:hAnsi="Times New Roman"/>
                <w:snapToGrid w:val="0"/>
                <w:color w:val="auto"/>
                <w:kern w:val="0"/>
                <w:sz w:val="21"/>
                <w:szCs w:val="21"/>
              </w:rPr>
            </w:pPr>
          </w:p>
        </w:tc>
        <w:tc>
          <w:tcPr>
            <w:tcW w:w="2405" w:type="dxa"/>
            <w:tcBorders>
              <w:top w:val="single" w:color="auto" w:sz="4" w:space="0"/>
              <w:left w:val="single" w:color="auto" w:sz="4" w:space="0"/>
              <w:bottom w:val="single" w:color="auto" w:sz="4" w:space="0"/>
              <w:right w:val="single" w:color="auto" w:sz="4" w:space="0"/>
            </w:tcBorders>
            <w:noWrap w:val="0"/>
            <w:vAlign w:val="center"/>
          </w:tcPr>
          <w:p>
            <w:pPr>
              <w:pStyle w:val="272"/>
              <w:rPr>
                <w:rFonts w:hAnsi="Times New Roman"/>
                <w:snapToGrid w:val="0"/>
                <w:color w:val="auto"/>
                <w:kern w:val="0"/>
                <w:sz w:val="21"/>
                <w:szCs w:val="21"/>
              </w:rPr>
            </w:pPr>
            <w:r>
              <w:rPr>
                <w:snapToGrid w:val="0"/>
                <w:color w:val="auto"/>
                <w:kern w:val="0"/>
                <w:sz w:val="21"/>
                <w:szCs w:val="21"/>
              </w:rPr>
              <w:t>不均匀系数</w:t>
            </w:r>
          </w:p>
        </w:tc>
        <w:tc>
          <w:tcPr>
            <w:tcW w:w="2265" w:type="dxa"/>
            <w:tcBorders>
              <w:top w:val="single" w:color="auto" w:sz="4" w:space="0"/>
              <w:left w:val="single" w:color="auto" w:sz="4" w:space="0"/>
              <w:bottom w:val="single" w:color="auto" w:sz="4" w:space="0"/>
              <w:right w:val="single" w:color="auto" w:sz="4" w:space="0"/>
            </w:tcBorders>
            <w:noWrap w:val="0"/>
            <w:vAlign w:val="center"/>
          </w:tcPr>
          <w:p>
            <w:pPr>
              <w:kinsoku/>
              <w:wordWrap/>
              <w:overflowPunct/>
              <w:topLinePunct w:val="0"/>
              <w:autoSpaceDE/>
              <w:autoSpaceDN/>
              <w:bidi w:val="0"/>
              <w:spacing w:line="360" w:lineRule="auto"/>
              <w:ind w:firstLine="0" w:firstLineChars="0"/>
              <w:jc w:val="center"/>
              <w:rPr>
                <w:rFonts w:hint="default"/>
                <w:snapToGrid w:val="0"/>
                <w:color w:val="auto"/>
                <w:kern w:val="0"/>
                <w:sz w:val="21"/>
                <w:szCs w:val="21"/>
                <w:lang w:val="en-US"/>
              </w:rPr>
            </w:pPr>
            <w:r>
              <w:rPr>
                <w:rFonts w:hint="eastAsia" w:ascii="宋体" w:hAnsi="宋体" w:eastAsia="宋体" w:cs="宋体"/>
                <w:color w:val="auto"/>
                <w:sz w:val="21"/>
                <w:szCs w:val="21"/>
                <w:highlight w:val="none"/>
                <w:lang w:val="en-US" w:eastAsia="zh-CN"/>
              </w:rPr>
              <w:t>1.</w:t>
            </w:r>
            <w:r>
              <w:rPr>
                <w:rFonts w:hint="eastAsia" w:ascii="宋体" w:hAnsi="宋体" w:cs="宋体"/>
                <w:color w:val="auto"/>
                <w:sz w:val="21"/>
                <w:szCs w:val="21"/>
                <w:highlight w:val="none"/>
                <w:lang w:val="en-US" w:eastAsia="zh-CN"/>
              </w:rPr>
              <w:t>288</w:t>
            </w:r>
          </w:p>
        </w:tc>
      </w:tr>
      <w:tr>
        <w:tblPrEx>
          <w:tblCellMar>
            <w:top w:w="0" w:type="dxa"/>
            <w:left w:w="108" w:type="dxa"/>
            <w:bottom w:w="0" w:type="dxa"/>
            <w:right w:w="108" w:type="dxa"/>
          </w:tblCellMar>
        </w:tblPrEx>
        <w:trPr>
          <w:trHeight w:val="510" w:hRule="atLeast"/>
        </w:trPr>
        <w:tc>
          <w:tcPr>
            <w:tcW w:w="1586" w:type="dxa"/>
            <w:vMerge w:val="continue"/>
            <w:tcBorders>
              <w:top w:val="single" w:color="auto" w:sz="4" w:space="0"/>
              <w:left w:val="single" w:color="auto" w:sz="4" w:space="0"/>
              <w:bottom w:val="single" w:color="auto" w:sz="4" w:space="0"/>
              <w:right w:val="single" w:color="auto" w:sz="4" w:space="0"/>
            </w:tcBorders>
            <w:noWrap w:val="0"/>
            <w:vAlign w:val="center"/>
          </w:tcPr>
          <w:p>
            <w:pPr>
              <w:pStyle w:val="272"/>
              <w:rPr>
                <w:rFonts w:hAnsi="Times New Roman"/>
                <w:snapToGrid w:val="0"/>
                <w:color w:val="auto"/>
                <w:kern w:val="0"/>
                <w:sz w:val="21"/>
                <w:szCs w:val="21"/>
              </w:rPr>
            </w:pPr>
          </w:p>
        </w:tc>
        <w:tc>
          <w:tcPr>
            <w:tcW w:w="2405" w:type="dxa"/>
            <w:tcBorders>
              <w:top w:val="single" w:color="auto" w:sz="4" w:space="0"/>
              <w:left w:val="single" w:color="auto" w:sz="4" w:space="0"/>
              <w:bottom w:val="single" w:color="auto" w:sz="4" w:space="0"/>
              <w:right w:val="single" w:color="auto" w:sz="4" w:space="0"/>
            </w:tcBorders>
            <w:noWrap w:val="0"/>
            <w:vAlign w:val="center"/>
          </w:tcPr>
          <w:p>
            <w:pPr>
              <w:pStyle w:val="272"/>
              <w:rPr>
                <w:rFonts w:hAnsi="Times New Roman"/>
                <w:snapToGrid w:val="0"/>
                <w:color w:val="auto"/>
                <w:kern w:val="0"/>
                <w:sz w:val="21"/>
                <w:szCs w:val="21"/>
              </w:rPr>
            </w:pPr>
            <w:r>
              <w:rPr>
                <w:snapToGrid w:val="0"/>
                <w:color w:val="auto"/>
                <w:kern w:val="0"/>
                <w:sz w:val="21"/>
                <w:szCs w:val="21"/>
              </w:rPr>
              <w:t>规范允许值</w:t>
            </w:r>
          </w:p>
        </w:tc>
        <w:tc>
          <w:tcPr>
            <w:tcW w:w="2265" w:type="dxa"/>
            <w:tcBorders>
              <w:top w:val="single" w:color="auto" w:sz="4" w:space="0"/>
              <w:left w:val="single" w:color="auto" w:sz="4" w:space="0"/>
              <w:bottom w:val="single" w:color="auto" w:sz="4" w:space="0"/>
              <w:right w:val="single" w:color="auto" w:sz="4" w:space="0"/>
            </w:tcBorders>
            <w:noWrap w:val="0"/>
            <w:vAlign w:val="center"/>
          </w:tcPr>
          <w:p>
            <w:pPr>
              <w:kinsoku/>
              <w:wordWrap/>
              <w:overflowPunct/>
              <w:topLinePunct w:val="0"/>
              <w:autoSpaceDE/>
              <w:autoSpaceDN/>
              <w:bidi w:val="0"/>
              <w:spacing w:line="360" w:lineRule="auto"/>
              <w:ind w:firstLine="0" w:firstLineChars="0"/>
              <w:jc w:val="center"/>
              <w:rPr>
                <w:snapToGrid w:val="0"/>
                <w:color w:val="auto"/>
                <w:kern w:val="0"/>
                <w:sz w:val="21"/>
                <w:szCs w:val="21"/>
              </w:rPr>
            </w:pPr>
            <w:r>
              <w:rPr>
                <w:rFonts w:hint="eastAsia" w:ascii="宋体" w:hAnsi="宋体" w:eastAsia="宋体" w:cs="宋体"/>
                <w:color w:val="auto"/>
                <w:sz w:val="21"/>
                <w:szCs w:val="21"/>
                <w:highlight w:val="none"/>
                <w:lang w:val="en-US" w:eastAsia="zh-CN"/>
              </w:rPr>
              <w:t>2.00</w:t>
            </w:r>
          </w:p>
        </w:tc>
      </w:tr>
    </w:tbl>
    <w:p>
      <w:pPr>
        <w:adjustRightInd/>
        <w:snapToGrid/>
        <w:ind w:firstLine="480"/>
        <w:rPr>
          <w:rFonts w:hAnsi="宋体"/>
          <w:color w:val="auto"/>
          <w:sz w:val="24"/>
        </w:rPr>
      </w:pPr>
    </w:p>
    <w:p>
      <w:pPr>
        <w:adjustRightInd/>
        <w:snapToGrid/>
        <w:ind w:firstLine="480"/>
        <w:rPr>
          <w:rFonts w:hAnsi="宋体"/>
          <w:color w:val="auto"/>
          <w:sz w:val="24"/>
        </w:rPr>
      </w:pPr>
    </w:p>
    <w:p>
      <w:pPr>
        <w:adjustRightInd/>
        <w:snapToGrid/>
        <w:ind w:firstLine="480"/>
        <w:rPr>
          <w:rFonts w:hAnsi="宋体"/>
          <w:color w:val="auto"/>
          <w:sz w:val="24"/>
        </w:rPr>
      </w:pPr>
    </w:p>
    <w:p>
      <w:pPr>
        <w:adjustRightInd/>
        <w:snapToGrid/>
        <w:ind w:firstLine="480"/>
        <w:rPr>
          <w:rFonts w:hAnsi="宋体"/>
          <w:color w:val="auto"/>
          <w:sz w:val="24"/>
        </w:rPr>
      </w:pPr>
    </w:p>
    <w:p>
      <w:pPr>
        <w:adjustRightInd/>
        <w:snapToGrid/>
        <w:ind w:firstLine="480"/>
        <w:rPr>
          <w:rFonts w:hAnsi="宋体"/>
          <w:color w:val="auto"/>
          <w:sz w:val="24"/>
        </w:rPr>
      </w:pPr>
    </w:p>
    <w:p>
      <w:pPr>
        <w:adjustRightInd/>
        <w:snapToGrid/>
        <w:ind w:firstLine="480"/>
        <w:rPr>
          <w:rFonts w:hAnsi="宋体"/>
          <w:color w:val="auto"/>
          <w:sz w:val="24"/>
        </w:rPr>
      </w:pPr>
    </w:p>
    <w:p>
      <w:pPr>
        <w:adjustRightInd/>
        <w:snapToGrid/>
        <w:ind w:firstLine="480"/>
        <w:rPr>
          <w:rFonts w:hAnsi="宋体"/>
          <w:color w:val="auto"/>
          <w:sz w:val="24"/>
        </w:rPr>
      </w:pPr>
    </w:p>
    <w:p>
      <w:pPr>
        <w:adjustRightInd/>
        <w:snapToGrid/>
        <w:ind w:firstLine="480"/>
        <w:rPr>
          <w:rFonts w:hAnsi="宋体"/>
          <w:color w:val="auto"/>
          <w:sz w:val="24"/>
        </w:rPr>
      </w:pPr>
    </w:p>
    <w:p>
      <w:pPr>
        <w:adjustRightInd/>
        <w:snapToGrid/>
        <w:ind w:firstLine="480"/>
        <w:rPr>
          <w:rFonts w:hAnsi="宋体"/>
          <w:color w:val="auto"/>
          <w:sz w:val="24"/>
        </w:rPr>
      </w:pPr>
    </w:p>
    <w:p>
      <w:pPr>
        <w:adjustRightInd/>
        <w:snapToGrid/>
        <w:ind w:left="0" w:leftChars="0" w:firstLine="0" w:firstLineChars="0"/>
        <w:rPr>
          <w:rFonts w:hAnsi="宋体"/>
          <w:color w:val="auto"/>
          <w:sz w:val="24"/>
        </w:rPr>
      </w:pPr>
    </w:p>
    <w:p>
      <w:pPr>
        <w:adjustRightInd/>
        <w:snapToGrid/>
        <w:ind w:firstLine="480"/>
        <w:rPr>
          <w:rFonts w:hAnsi="宋体"/>
          <w:color w:val="auto"/>
          <w:sz w:val="24"/>
        </w:rPr>
      </w:pPr>
      <w:r>
        <w:rPr>
          <w:rFonts w:hAnsi="宋体"/>
          <w:color w:val="auto"/>
          <w:sz w:val="24"/>
        </w:rPr>
        <w:t>由以上计算可知，挡土墙满足稳定要求。</w:t>
      </w:r>
    </w:p>
    <w:p>
      <w:pPr>
        <w:pStyle w:val="2"/>
        <w:keepNext w:val="0"/>
        <w:keepLines w:val="0"/>
        <w:pageBreakBefore/>
        <w:spacing w:before="156" w:beforeLines="50" w:after="156" w:afterLines="50" w:line="360" w:lineRule="auto"/>
        <w:ind w:firstLine="640"/>
        <w:rPr>
          <w:rFonts w:ascii="黑体" w:hAnsi="宋体"/>
          <w:bCs w:val="0"/>
          <w:color w:val="auto"/>
          <w:highlight w:val="none"/>
        </w:rPr>
      </w:pPr>
      <w:bookmarkStart w:id="318" w:name="_Toc19904"/>
      <w:r>
        <w:rPr>
          <w:rFonts w:hint="eastAsia" w:eastAsia="宋体"/>
          <w:b/>
          <w:color w:val="auto"/>
          <w:szCs w:val="32"/>
          <w:highlight w:val="none"/>
          <w:lang w:val="en-US" w:eastAsia="zh-CN"/>
        </w:rPr>
        <w:t>6</w:t>
      </w:r>
      <w:r>
        <w:rPr>
          <w:rFonts w:hint="eastAsia" w:eastAsia="宋体"/>
          <w:b/>
          <w:color w:val="auto"/>
          <w:szCs w:val="32"/>
          <w:highlight w:val="none"/>
        </w:rPr>
        <w:t xml:space="preserve"> </w:t>
      </w:r>
      <w:r>
        <w:rPr>
          <w:rFonts w:hint="eastAsia" w:eastAsia="宋体"/>
          <w:b/>
          <w:color w:val="auto"/>
          <w:szCs w:val="32"/>
          <w:highlight w:val="none"/>
          <w:lang w:val="en-US" w:eastAsia="zh-CN"/>
        </w:rPr>
        <w:t xml:space="preserve"> </w:t>
      </w:r>
      <w:r>
        <w:rPr>
          <w:rFonts w:hint="eastAsia" w:eastAsia="宋体"/>
          <w:b/>
          <w:color w:val="auto"/>
          <w:szCs w:val="32"/>
          <w:highlight w:val="none"/>
        </w:rPr>
        <w:t>消防设计</w:t>
      </w:r>
      <w:bookmarkEnd w:id="318"/>
    </w:p>
    <w:p>
      <w:pPr>
        <w:pStyle w:val="3"/>
        <w:rPr>
          <w:color w:val="auto"/>
          <w:highlight w:val="none"/>
        </w:rPr>
      </w:pPr>
      <w:bookmarkStart w:id="319" w:name="_Toc55945779"/>
      <w:bookmarkStart w:id="320" w:name="_Toc20016"/>
      <w:bookmarkStart w:id="321" w:name="_Toc55945780"/>
      <w:r>
        <w:rPr>
          <w:rFonts w:hint="eastAsia"/>
          <w:color w:val="auto"/>
          <w:highlight w:val="none"/>
          <w:lang w:val="en-US" w:eastAsia="zh-CN"/>
        </w:rPr>
        <w:t>6</w:t>
      </w:r>
      <w:r>
        <w:rPr>
          <w:color w:val="auto"/>
          <w:highlight w:val="none"/>
        </w:rPr>
        <w:t>.1 概述</w:t>
      </w:r>
      <w:bookmarkEnd w:id="319"/>
      <w:bookmarkEnd w:id="320"/>
    </w:p>
    <w:p>
      <w:pPr>
        <w:pStyle w:val="335"/>
        <w:spacing w:before="156" w:after="156"/>
        <w:rPr>
          <w:color w:val="auto"/>
          <w:highlight w:val="none"/>
        </w:rPr>
      </w:pPr>
      <w:r>
        <w:rPr>
          <w:rFonts w:hint="eastAsia"/>
          <w:color w:val="auto"/>
          <w:highlight w:val="none"/>
          <w:lang w:val="en-US" w:eastAsia="zh-CN"/>
        </w:rPr>
        <w:t>6</w:t>
      </w:r>
      <w:r>
        <w:rPr>
          <w:color w:val="auto"/>
          <w:highlight w:val="none"/>
        </w:rPr>
        <w:t>.1.1工程概况</w:t>
      </w:r>
    </w:p>
    <w:p>
      <w:pPr>
        <w:ind w:firstLine="480"/>
        <w:rPr>
          <w:rFonts w:hint="eastAsia"/>
          <w:b w:val="0"/>
          <w:bCs/>
          <w:color w:val="auto"/>
          <w:highlight w:val="none"/>
          <w:lang w:val="en-US" w:eastAsia="zh-CN"/>
        </w:rPr>
      </w:pPr>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渠道进行三面光改造，改造起点位于温泉镇桃莲村委后（桩号0+000），距离干渠渠首约5.5km，终点位于从莞深高速公路穿路箱涵进水口（桩号1+207），改造总长1207m。主要建设内容是对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渠道进行三面光改造，改造总长为</w:t>
      </w:r>
      <w:r>
        <w:rPr>
          <w:rFonts w:hint="eastAsia"/>
          <w:b w:val="0"/>
          <w:bCs/>
          <w:color w:val="auto"/>
          <w:highlight w:val="none"/>
          <w:lang w:val="en-US" w:eastAsia="zh-CN"/>
        </w:rPr>
        <w:t>1207m，主要建筑物包括新建浆砌石渠道1207m，新建泄洪闸1座，拆除重建泄洪闸2座，拆除重建机耕桥2座，拆除重建人行桥5座，新建钢筋砼溢流面板1168m²等。</w:t>
      </w:r>
    </w:p>
    <w:p>
      <w:pPr>
        <w:pStyle w:val="335"/>
        <w:spacing w:before="156" w:after="156"/>
        <w:rPr>
          <w:color w:val="auto"/>
          <w:highlight w:val="none"/>
        </w:rPr>
      </w:pPr>
      <w:r>
        <w:rPr>
          <w:rFonts w:hint="eastAsia"/>
          <w:color w:val="auto"/>
          <w:highlight w:val="none"/>
          <w:lang w:val="en-US" w:eastAsia="zh-CN"/>
        </w:rPr>
        <w:t>6</w:t>
      </w:r>
      <w:r>
        <w:rPr>
          <w:color w:val="auto"/>
          <w:highlight w:val="none"/>
        </w:rPr>
        <w:t>.1.2  消防设计依据及设计原则</w:t>
      </w:r>
    </w:p>
    <w:p>
      <w:pPr>
        <w:pStyle w:val="5"/>
        <w:rPr>
          <w:color w:val="auto"/>
          <w:highlight w:val="none"/>
        </w:rPr>
      </w:pPr>
      <w:r>
        <w:rPr>
          <w:rFonts w:hint="eastAsia"/>
          <w:color w:val="auto"/>
          <w:highlight w:val="none"/>
          <w:lang w:val="en-US" w:eastAsia="zh-CN"/>
        </w:rPr>
        <w:t>6</w:t>
      </w:r>
      <w:r>
        <w:rPr>
          <w:color w:val="auto"/>
          <w:highlight w:val="none"/>
        </w:rPr>
        <w:t>.1.2.1  设计依据</w:t>
      </w:r>
    </w:p>
    <w:p>
      <w:pPr>
        <w:spacing w:line="500" w:lineRule="atLeast"/>
        <w:ind w:firstLine="480"/>
        <w:rPr>
          <w:color w:val="auto"/>
          <w:highlight w:val="none"/>
        </w:rPr>
      </w:pPr>
      <w:r>
        <w:rPr>
          <w:color w:val="auto"/>
          <w:highlight w:val="none"/>
        </w:rPr>
        <w:t>(1) 《中华人民共和国消防法》；</w:t>
      </w:r>
    </w:p>
    <w:p>
      <w:pPr>
        <w:spacing w:line="500" w:lineRule="atLeast"/>
        <w:ind w:firstLine="480"/>
        <w:rPr>
          <w:color w:val="auto"/>
          <w:highlight w:val="none"/>
        </w:rPr>
      </w:pPr>
      <w:r>
        <w:rPr>
          <w:color w:val="auto"/>
          <w:highlight w:val="none"/>
        </w:rPr>
        <w:t>(2) 《水利水电工程设计防火规范》(SDJ278-90)；</w:t>
      </w:r>
    </w:p>
    <w:p>
      <w:pPr>
        <w:spacing w:line="500" w:lineRule="atLeast"/>
        <w:ind w:firstLine="480"/>
        <w:rPr>
          <w:color w:val="auto"/>
          <w:highlight w:val="none"/>
        </w:rPr>
      </w:pPr>
      <w:r>
        <w:rPr>
          <w:color w:val="auto"/>
          <w:highlight w:val="none"/>
        </w:rPr>
        <w:t>(3) 《建筑设计防火规范》(GB50016-2006)；</w:t>
      </w:r>
    </w:p>
    <w:p>
      <w:pPr>
        <w:spacing w:line="500" w:lineRule="atLeast"/>
        <w:ind w:firstLine="480"/>
        <w:rPr>
          <w:color w:val="auto"/>
          <w:highlight w:val="none"/>
        </w:rPr>
      </w:pPr>
      <w:r>
        <w:rPr>
          <w:color w:val="auto"/>
          <w:highlight w:val="none"/>
        </w:rPr>
        <w:t>(4) 《建筑灭火器配置设计规范》(GBJ140-90，2005)；</w:t>
      </w:r>
    </w:p>
    <w:p>
      <w:pPr>
        <w:spacing w:line="500" w:lineRule="atLeast"/>
        <w:ind w:firstLine="480"/>
        <w:rPr>
          <w:color w:val="auto"/>
          <w:highlight w:val="none"/>
        </w:rPr>
      </w:pPr>
      <w:r>
        <w:rPr>
          <w:color w:val="auto"/>
          <w:highlight w:val="none"/>
        </w:rPr>
        <w:t>(5) 《建筑内部装修设计防火规范》(GB50222-95)；</w:t>
      </w:r>
    </w:p>
    <w:p>
      <w:pPr>
        <w:spacing w:line="500" w:lineRule="atLeast"/>
        <w:ind w:firstLine="480"/>
        <w:rPr>
          <w:color w:val="auto"/>
          <w:highlight w:val="none"/>
        </w:rPr>
      </w:pPr>
      <w:r>
        <w:rPr>
          <w:color w:val="auto"/>
          <w:highlight w:val="none"/>
        </w:rPr>
        <w:t>(6) 《水喷雾灭火系统设计规范》(GB50219-95)；</w:t>
      </w:r>
    </w:p>
    <w:p>
      <w:pPr>
        <w:spacing w:line="500" w:lineRule="atLeast"/>
        <w:ind w:firstLine="480"/>
        <w:rPr>
          <w:color w:val="auto"/>
          <w:highlight w:val="none"/>
        </w:rPr>
      </w:pPr>
      <w:r>
        <w:rPr>
          <w:color w:val="auto"/>
          <w:highlight w:val="none"/>
        </w:rPr>
        <w:t>(7) 《火灾自动报警系统设计规范》(GB50116-98)；</w:t>
      </w:r>
    </w:p>
    <w:p>
      <w:pPr>
        <w:spacing w:line="500" w:lineRule="atLeast"/>
        <w:ind w:firstLine="480"/>
        <w:rPr>
          <w:color w:val="auto"/>
          <w:highlight w:val="none"/>
        </w:rPr>
      </w:pPr>
      <w:r>
        <w:rPr>
          <w:color w:val="auto"/>
          <w:highlight w:val="none"/>
        </w:rPr>
        <w:t>(8) 《自动喷水灭火系统设计规范》(GB50084-2001)；</w:t>
      </w:r>
    </w:p>
    <w:p>
      <w:pPr>
        <w:spacing w:line="500" w:lineRule="atLeast"/>
        <w:ind w:firstLine="480"/>
        <w:rPr>
          <w:color w:val="auto"/>
          <w:highlight w:val="none"/>
        </w:rPr>
      </w:pPr>
      <w:r>
        <w:rPr>
          <w:color w:val="auto"/>
          <w:highlight w:val="none"/>
        </w:rPr>
        <w:t>(9) 《人民防空工程设计防火规范》(GB50098-98 2001年版)；</w:t>
      </w:r>
    </w:p>
    <w:p>
      <w:pPr>
        <w:spacing w:line="500" w:lineRule="atLeast"/>
        <w:ind w:firstLine="480"/>
        <w:rPr>
          <w:color w:val="auto"/>
          <w:highlight w:val="none"/>
        </w:rPr>
      </w:pPr>
      <w:r>
        <w:rPr>
          <w:color w:val="auto"/>
          <w:highlight w:val="none"/>
        </w:rPr>
        <w:t>(10) 《水力发电厂厂房采暖通风与空气调节设计规程》(DL/T 5165-2002)；</w:t>
      </w:r>
    </w:p>
    <w:p>
      <w:pPr>
        <w:spacing w:line="500" w:lineRule="atLeast"/>
        <w:ind w:firstLine="480"/>
        <w:rPr>
          <w:color w:val="auto"/>
          <w:highlight w:val="none"/>
        </w:rPr>
      </w:pPr>
      <w:r>
        <w:rPr>
          <w:color w:val="auto"/>
          <w:highlight w:val="none"/>
        </w:rPr>
        <w:t>(11) 《二氧化碳灭火系统设计规范》(GB50193-93)；</w:t>
      </w:r>
    </w:p>
    <w:p>
      <w:pPr>
        <w:spacing w:line="500" w:lineRule="atLeast"/>
        <w:ind w:firstLine="480"/>
        <w:rPr>
          <w:color w:val="auto"/>
          <w:highlight w:val="none"/>
        </w:rPr>
      </w:pPr>
      <w:r>
        <w:rPr>
          <w:color w:val="auto"/>
          <w:highlight w:val="none"/>
        </w:rPr>
        <w:t>(12) 《电力设备典型消防规程》(DL5027-93)；</w:t>
      </w:r>
    </w:p>
    <w:p>
      <w:pPr>
        <w:snapToGrid w:val="0"/>
        <w:spacing w:line="500" w:lineRule="atLeast"/>
        <w:ind w:firstLine="480"/>
        <w:rPr>
          <w:color w:val="auto"/>
          <w:highlight w:val="none"/>
        </w:rPr>
      </w:pPr>
      <w:r>
        <w:rPr>
          <w:color w:val="auto"/>
          <w:highlight w:val="none"/>
        </w:rPr>
        <w:t>(13) 《民用建筑设计通则》(GB50352-2005)。</w:t>
      </w:r>
    </w:p>
    <w:p>
      <w:pPr>
        <w:pStyle w:val="5"/>
        <w:rPr>
          <w:color w:val="auto"/>
          <w:highlight w:val="none"/>
        </w:rPr>
      </w:pPr>
      <w:r>
        <w:rPr>
          <w:rFonts w:hint="eastAsia"/>
          <w:color w:val="auto"/>
          <w:highlight w:val="none"/>
          <w:lang w:val="en-US" w:eastAsia="zh-CN"/>
        </w:rPr>
        <w:t>6</w:t>
      </w:r>
      <w:r>
        <w:rPr>
          <w:color w:val="auto"/>
          <w:highlight w:val="none"/>
        </w:rPr>
        <w:t>.1.2.2  设计原则</w:t>
      </w:r>
    </w:p>
    <w:p>
      <w:pPr>
        <w:snapToGrid w:val="0"/>
        <w:spacing w:line="500" w:lineRule="atLeast"/>
        <w:ind w:firstLine="480"/>
        <w:rPr>
          <w:bCs/>
          <w:color w:val="auto"/>
          <w:highlight w:val="none"/>
        </w:rPr>
      </w:pPr>
      <w:bookmarkStart w:id="322" w:name="OLE_LINK1"/>
      <w:r>
        <w:rPr>
          <w:bCs/>
          <w:color w:val="auto"/>
          <w:highlight w:val="none"/>
        </w:rPr>
        <w:t>本工程消防设计贯彻“预防为主，防消结合”和确保终点、兼顾一般、便于管理、经济实用的原则。工程远离城镇，消防设施的配置应以消防自救为主，外援为辅。在工程总体布置中防火间距、安全出口均应满足规范要求。</w:t>
      </w:r>
    </w:p>
    <w:p>
      <w:pPr>
        <w:snapToGrid w:val="0"/>
        <w:spacing w:line="500" w:lineRule="atLeast"/>
        <w:ind w:firstLine="480"/>
        <w:rPr>
          <w:rFonts w:hint="eastAsia"/>
          <w:color w:val="auto"/>
          <w:highlight w:val="none"/>
          <w:lang w:val="en-US" w:eastAsia="zh-CN"/>
        </w:rPr>
      </w:pPr>
      <w:r>
        <w:rPr>
          <w:bCs/>
          <w:color w:val="auto"/>
          <w:highlight w:val="none"/>
        </w:rPr>
        <w:t>选用的消防设备均应安全可靠、使用方便、技术先进、经济合理，并满足本工程的特殊要求。所选用的产品均应为经国家有关产品质量监督检测部门检验合格的产品。</w:t>
      </w:r>
      <w:bookmarkEnd w:id="322"/>
    </w:p>
    <w:p>
      <w:pPr>
        <w:pStyle w:val="3"/>
        <w:rPr>
          <w:color w:val="auto"/>
          <w:highlight w:val="none"/>
        </w:rPr>
      </w:pPr>
      <w:bookmarkStart w:id="323" w:name="_Toc8536"/>
      <w:r>
        <w:rPr>
          <w:rFonts w:hint="eastAsia"/>
          <w:color w:val="auto"/>
          <w:highlight w:val="none"/>
          <w:lang w:val="en-US" w:eastAsia="zh-CN"/>
        </w:rPr>
        <w:t>6</w:t>
      </w:r>
      <w:r>
        <w:rPr>
          <w:color w:val="auto"/>
          <w:highlight w:val="none"/>
        </w:rPr>
        <w:t>.2 消防总体布置</w:t>
      </w:r>
      <w:bookmarkEnd w:id="321"/>
      <w:bookmarkEnd w:id="323"/>
    </w:p>
    <w:p>
      <w:pPr>
        <w:pStyle w:val="421"/>
        <w:ind w:firstLine="480"/>
        <w:rPr>
          <w:color w:val="auto"/>
          <w:highlight w:val="none"/>
        </w:rPr>
      </w:pPr>
      <w:bookmarkStart w:id="324" w:name="OLE_LINK2"/>
      <w:r>
        <w:rPr>
          <w:color w:val="auto"/>
          <w:highlight w:val="none"/>
        </w:rPr>
        <w:t>设计贯彻“预防为主，防消结合”的工作方针，以预防和减少火灾危害。</w:t>
      </w:r>
    </w:p>
    <w:p>
      <w:pPr>
        <w:pStyle w:val="421"/>
        <w:ind w:firstLine="480"/>
        <w:rPr>
          <w:color w:val="auto"/>
          <w:highlight w:val="none"/>
        </w:rPr>
      </w:pPr>
      <w:r>
        <w:rPr>
          <w:color w:val="auto"/>
          <w:highlight w:val="none"/>
          <w:lang w:val="zh-CN"/>
        </w:rPr>
        <w:t>本工程消防设计贯彻“预防为主，防消结合”和确保重点、兼顾一般、便于管理、经济实用的原则。设计中，采用“一防、二断、三灭、四排”的综合消防技术措施。</w:t>
      </w:r>
    </w:p>
    <w:p>
      <w:pPr>
        <w:pStyle w:val="421"/>
        <w:ind w:firstLine="480"/>
        <w:rPr>
          <w:color w:val="auto"/>
          <w:highlight w:val="none"/>
        </w:rPr>
      </w:pPr>
      <w:r>
        <w:rPr>
          <w:color w:val="auto"/>
          <w:highlight w:val="none"/>
        </w:rPr>
        <w:t>本工程的</w:t>
      </w:r>
      <w:r>
        <w:rPr>
          <w:rFonts w:hint="eastAsia"/>
          <w:color w:val="auto"/>
          <w:highlight w:val="none"/>
        </w:rPr>
        <w:t>渠顶路</w:t>
      </w:r>
      <w:r>
        <w:rPr>
          <w:color w:val="auto"/>
          <w:highlight w:val="none"/>
        </w:rPr>
        <w:t>作为消防通道，均为</w:t>
      </w:r>
      <w:r>
        <w:rPr>
          <w:rFonts w:hint="eastAsia"/>
          <w:color w:val="auto"/>
          <w:highlight w:val="none"/>
        </w:rPr>
        <w:t>公</w:t>
      </w:r>
      <w:r>
        <w:rPr>
          <w:color w:val="auto"/>
          <w:highlight w:val="none"/>
        </w:rPr>
        <w:t>路直接连接，</w:t>
      </w:r>
      <w:r>
        <w:rPr>
          <w:rFonts w:hint="eastAsia"/>
          <w:color w:val="auto"/>
          <w:highlight w:val="none"/>
        </w:rPr>
        <w:t>保证</w:t>
      </w:r>
      <w:r>
        <w:rPr>
          <w:color w:val="auto"/>
          <w:highlight w:val="none"/>
        </w:rPr>
        <w:t>消防通道畅通，满足规范</w:t>
      </w:r>
      <w:r>
        <w:rPr>
          <w:rFonts w:hint="eastAsia"/>
          <w:color w:val="auto"/>
          <w:highlight w:val="none"/>
        </w:rPr>
        <w:t>要求。</w:t>
      </w:r>
    </w:p>
    <w:p>
      <w:pPr>
        <w:pStyle w:val="421"/>
        <w:ind w:firstLine="480"/>
        <w:rPr>
          <w:color w:val="auto"/>
          <w:highlight w:val="none"/>
        </w:rPr>
      </w:pPr>
      <w:r>
        <w:rPr>
          <w:color w:val="auto"/>
          <w:highlight w:val="none"/>
        </w:rPr>
        <w:t>消防设计考根据</w:t>
      </w:r>
      <w:r>
        <w:rPr>
          <w:rFonts w:hint="eastAsia"/>
          <w:color w:val="auto"/>
          <w:highlight w:val="none"/>
        </w:rPr>
        <w:t>场地</w:t>
      </w:r>
      <w:r>
        <w:rPr>
          <w:color w:val="auto"/>
          <w:highlight w:val="none"/>
        </w:rPr>
        <w:t>的重要性和火灾危险性程度配置清防设施和器材，对特殊部位按防火规范采取相应的消防措施，</w:t>
      </w:r>
      <w:r>
        <w:rPr>
          <w:rFonts w:hint="eastAsia"/>
          <w:color w:val="auto"/>
          <w:highlight w:val="none"/>
        </w:rPr>
        <w:t>一旦</w:t>
      </w:r>
      <w:r>
        <w:rPr>
          <w:color w:val="auto"/>
          <w:highlight w:val="none"/>
        </w:rPr>
        <w:t>发生火灾，尽量避</w:t>
      </w:r>
      <w:r>
        <w:rPr>
          <w:rFonts w:hint="eastAsia"/>
          <w:color w:val="auto"/>
          <w:highlight w:val="none"/>
        </w:rPr>
        <w:t>免</w:t>
      </w:r>
      <w:r>
        <w:rPr>
          <w:color w:val="auto"/>
          <w:highlight w:val="none"/>
        </w:rPr>
        <w:t>人员伤亡和减少经济损失。</w:t>
      </w:r>
    </w:p>
    <w:p>
      <w:pPr>
        <w:pStyle w:val="421"/>
        <w:ind w:firstLine="480"/>
        <w:rPr>
          <w:color w:val="auto"/>
          <w:highlight w:val="none"/>
        </w:rPr>
      </w:pPr>
      <w:r>
        <w:rPr>
          <w:color w:val="auto"/>
          <w:highlight w:val="none"/>
        </w:rPr>
        <w:t>在可能发生火灾的场所，对设备的布置、安装、建筑物内装修、电缘敷设上采取有效的预防措施，以减少火灾发生。通过消防设计及设置消防设施,以及必要的消防通道、疏散通道，以达到</w:t>
      </w:r>
      <w:r>
        <w:rPr>
          <w:rFonts w:hint="eastAsia"/>
          <w:color w:val="auto"/>
          <w:highlight w:val="none"/>
        </w:rPr>
        <w:t>一旦</w:t>
      </w:r>
      <w:r>
        <w:rPr>
          <w:color w:val="auto"/>
          <w:highlight w:val="none"/>
        </w:rPr>
        <w:t>发生火灾，能迅速灭火或限制其范围，将人员伤亡和财产损失减少到最小程度。</w:t>
      </w:r>
    </w:p>
    <w:p>
      <w:pPr>
        <w:pStyle w:val="421"/>
        <w:ind w:firstLine="480"/>
        <w:rPr>
          <w:color w:val="auto"/>
          <w:highlight w:val="none"/>
        </w:rPr>
      </w:pPr>
      <w:r>
        <w:rPr>
          <w:color w:val="auto"/>
          <w:highlight w:val="none"/>
        </w:rPr>
        <w:t>本工程采用</w:t>
      </w:r>
      <w:r>
        <w:rPr>
          <w:rFonts w:hint="eastAsia"/>
          <w:color w:val="auto"/>
          <w:highlight w:val="none"/>
        </w:rPr>
        <w:t>室外消火栓</w:t>
      </w:r>
      <w:r>
        <w:rPr>
          <w:color w:val="auto"/>
          <w:highlight w:val="none"/>
        </w:rPr>
        <w:t>的灭火方式</w:t>
      </w:r>
      <w:r>
        <w:rPr>
          <w:rFonts w:hint="eastAsia"/>
          <w:color w:val="auto"/>
          <w:highlight w:val="none"/>
        </w:rPr>
        <w:t>，天然水源可作为消防给水水源</w:t>
      </w:r>
      <w:r>
        <w:rPr>
          <w:color w:val="auto"/>
          <w:highlight w:val="none"/>
        </w:rPr>
        <w:t>。</w:t>
      </w:r>
    </w:p>
    <w:p>
      <w:pPr>
        <w:pStyle w:val="421"/>
        <w:ind w:firstLine="480"/>
        <w:rPr>
          <w:color w:val="auto"/>
          <w:highlight w:val="none"/>
        </w:rPr>
      </w:pPr>
      <w:r>
        <w:rPr>
          <w:color w:val="auto"/>
          <w:highlight w:val="none"/>
        </w:rPr>
        <w:t>本工程尽可能采用阻燃、难燃性材料为绝缘介质的电气设备，以防止和减少火灾发生。孔洞及电缆道用耐火材料封堵、分割，以防止火灾蔓延扩展。</w:t>
      </w:r>
    </w:p>
    <w:p>
      <w:pPr>
        <w:pStyle w:val="421"/>
        <w:ind w:firstLine="480"/>
        <w:rPr>
          <w:color w:val="auto"/>
          <w:highlight w:val="none"/>
        </w:rPr>
      </w:pPr>
      <w:r>
        <w:rPr>
          <w:color w:val="auto"/>
          <w:highlight w:val="none"/>
        </w:rPr>
        <w:t>所有防火设施的设置与工程相适应，同时进行，同时形成。</w:t>
      </w:r>
    </w:p>
    <w:p>
      <w:pPr>
        <w:pStyle w:val="421"/>
        <w:ind w:firstLine="480"/>
        <w:rPr>
          <w:rFonts w:ascii="黑体" w:hAnsi="宋体" w:eastAsia="黑体"/>
          <w:bCs/>
          <w:color w:val="auto"/>
          <w:highlight w:val="none"/>
        </w:rPr>
        <w:sectPr>
          <w:headerReference r:id="rId9" w:type="default"/>
          <w:pgSz w:w="11906" w:h="16838"/>
          <w:pgMar w:top="1418" w:right="1644" w:bottom="1418" w:left="1701" w:header="851" w:footer="992" w:gutter="0"/>
          <w:pgBorders>
            <w:top w:val="none" w:sz="0" w:space="0"/>
            <w:left w:val="none" w:sz="0" w:space="0"/>
            <w:bottom w:val="none" w:sz="0" w:space="0"/>
            <w:right w:val="none" w:sz="0" w:space="0"/>
          </w:pgBorders>
          <w:pgNumType w:fmt="decimal"/>
          <w:cols w:space="720" w:num="1"/>
          <w:docGrid w:type="lines" w:linePitch="312" w:charSpace="0"/>
        </w:sectPr>
      </w:pPr>
      <w:r>
        <w:rPr>
          <w:color w:val="auto"/>
          <w:highlight w:val="none"/>
        </w:rPr>
        <w:t>全部管理人员都要接受防火设备和消防设施使用培训，学会防火设备和消防设施的使用。定期对消火剂进行检查和更换等工作，并负责</w:t>
      </w:r>
      <w:r>
        <w:rPr>
          <w:rFonts w:hint="eastAsia"/>
          <w:color w:val="auto"/>
          <w:highlight w:val="none"/>
        </w:rPr>
        <w:t>相关</w:t>
      </w:r>
      <w:r>
        <w:rPr>
          <w:color w:val="auto"/>
          <w:highlight w:val="none"/>
        </w:rPr>
        <w:t>人员的消防知识培训。</w:t>
      </w:r>
    </w:p>
    <w:bookmarkEnd w:id="324"/>
    <w:p>
      <w:pPr>
        <w:pStyle w:val="2"/>
        <w:keepNext w:val="0"/>
        <w:keepLines w:val="0"/>
        <w:pageBreakBefore/>
        <w:spacing w:beforeLines="50" w:afterLines="50" w:line="360" w:lineRule="auto"/>
        <w:ind w:firstLine="640"/>
        <w:rPr>
          <w:b/>
          <w:color w:val="auto"/>
          <w:szCs w:val="32"/>
          <w:highlight w:val="none"/>
        </w:rPr>
      </w:pPr>
      <w:bookmarkStart w:id="325" w:name="_Toc536295140"/>
      <w:bookmarkStart w:id="326" w:name="_Toc2022"/>
      <w:bookmarkStart w:id="327" w:name="_Toc55897441"/>
      <w:r>
        <w:rPr>
          <w:rFonts w:hint="eastAsia"/>
          <w:color w:val="auto"/>
          <w:szCs w:val="32"/>
          <w:highlight w:val="none"/>
          <w:lang w:val="en-US" w:eastAsia="zh-CN"/>
        </w:rPr>
        <w:t xml:space="preserve">7  </w:t>
      </w:r>
      <w:r>
        <w:rPr>
          <w:color w:val="auto"/>
          <w:szCs w:val="32"/>
          <w:highlight w:val="none"/>
        </w:rPr>
        <w:t>施工组织设计</w:t>
      </w:r>
      <w:bookmarkEnd w:id="325"/>
      <w:bookmarkEnd w:id="326"/>
      <w:bookmarkEnd w:id="327"/>
    </w:p>
    <w:p>
      <w:pPr>
        <w:pStyle w:val="3"/>
        <w:rPr>
          <w:color w:val="auto"/>
          <w:highlight w:val="none"/>
        </w:rPr>
      </w:pPr>
      <w:bookmarkStart w:id="328" w:name="_Toc23514"/>
      <w:bookmarkStart w:id="329" w:name="_Toc27042030"/>
      <w:bookmarkStart w:id="330" w:name="_Toc493170000"/>
      <w:bookmarkStart w:id="331" w:name="_Toc123371374"/>
      <w:bookmarkStart w:id="332" w:name="_Toc39401672"/>
      <w:r>
        <w:rPr>
          <w:rFonts w:hint="eastAsia"/>
          <w:color w:val="auto"/>
          <w:highlight w:val="none"/>
          <w:lang w:val="en-US" w:eastAsia="zh-CN"/>
        </w:rPr>
        <w:t>7</w:t>
      </w:r>
      <w:r>
        <w:rPr>
          <w:rFonts w:hint="eastAsia"/>
          <w:color w:val="auto"/>
          <w:highlight w:val="none"/>
        </w:rPr>
        <w:t>.</w:t>
      </w:r>
      <w:r>
        <w:rPr>
          <w:color w:val="auto"/>
          <w:highlight w:val="none"/>
        </w:rPr>
        <w:t>1</w:t>
      </w:r>
      <w:r>
        <w:rPr>
          <w:rFonts w:hint="eastAsia"/>
          <w:color w:val="auto"/>
          <w:highlight w:val="none"/>
        </w:rPr>
        <w:t xml:space="preserve"> </w:t>
      </w:r>
      <w:r>
        <w:rPr>
          <w:color w:val="auto"/>
          <w:highlight w:val="none"/>
        </w:rPr>
        <w:t>施工条件</w:t>
      </w:r>
      <w:bookmarkEnd w:id="328"/>
      <w:bookmarkEnd w:id="329"/>
      <w:bookmarkEnd w:id="330"/>
    </w:p>
    <w:p>
      <w:pPr>
        <w:pStyle w:val="335"/>
        <w:spacing w:before="120" w:after="120"/>
        <w:rPr>
          <w:color w:val="auto"/>
          <w:highlight w:val="none"/>
        </w:rPr>
      </w:pPr>
      <w:r>
        <w:rPr>
          <w:rFonts w:hint="eastAsia"/>
          <w:color w:val="auto"/>
          <w:highlight w:val="none"/>
          <w:lang w:val="en-US" w:eastAsia="zh-CN"/>
        </w:rPr>
        <w:t>7</w:t>
      </w:r>
      <w:r>
        <w:rPr>
          <w:rFonts w:hint="eastAsia"/>
          <w:color w:val="auto"/>
          <w:highlight w:val="none"/>
        </w:rPr>
        <w:t>.</w:t>
      </w:r>
      <w:r>
        <w:rPr>
          <w:color w:val="auto"/>
          <w:highlight w:val="none"/>
        </w:rPr>
        <w:t>1.1工程概况</w:t>
      </w:r>
    </w:p>
    <w:p>
      <w:pPr>
        <w:ind w:firstLine="480"/>
        <w:rPr>
          <w:color w:val="auto"/>
          <w:highlight w:val="none"/>
        </w:rPr>
      </w:pPr>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渠道进行三面光改造，改造起点位于温泉镇桃莲村委后（桩号0+000），距离干渠渠首约5.5km，终点位于从莞深高速公路穿路箱涵进水口（桩号1+207），改造总长1207m。主要建设内容是对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渠道进行三面光改造，改造总长为</w:t>
      </w:r>
      <w:r>
        <w:rPr>
          <w:rFonts w:hint="eastAsia"/>
          <w:b w:val="0"/>
          <w:bCs/>
          <w:color w:val="auto"/>
          <w:highlight w:val="none"/>
          <w:lang w:val="en-US" w:eastAsia="zh-CN"/>
        </w:rPr>
        <w:t>1207m，主要建筑物包括新建浆砌石渠道1207m，新建泄洪闸1座，拆除重建泄洪闸2座，拆除重建机耕桥2座，拆除重建人行桥5座，新建钢筋砼溢流面板1168m²等。</w:t>
      </w:r>
    </w:p>
    <w:p>
      <w:pPr>
        <w:pStyle w:val="335"/>
        <w:spacing w:before="120" w:after="120"/>
        <w:rPr>
          <w:color w:val="auto"/>
          <w:highlight w:val="none"/>
        </w:rPr>
      </w:pPr>
      <w:r>
        <w:rPr>
          <w:rFonts w:hint="eastAsia"/>
          <w:color w:val="auto"/>
          <w:highlight w:val="none"/>
          <w:lang w:val="en-US" w:eastAsia="zh-CN"/>
        </w:rPr>
        <w:t>7</w:t>
      </w:r>
      <w:r>
        <w:rPr>
          <w:rFonts w:hint="eastAsia"/>
          <w:color w:val="auto"/>
          <w:highlight w:val="none"/>
        </w:rPr>
        <w:t>.</w:t>
      </w:r>
      <w:r>
        <w:rPr>
          <w:color w:val="auto"/>
          <w:highlight w:val="none"/>
        </w:rPr>
        <w:t>1.2</w:t>
      </w:r>
      <w:r>
        <w:rPr>
          <w:rFonts w:hint="eastAsia"/>
          <w:color w:val="auto"/>
          <w:highlight w:val="none"/>
        </w:rPr>
        <w:t xml:space="preserve"> </w:t>
      </w:r>
      <w:r>
        <w:rPr>
          <w:color w:val="auto"/>
          <w:highlight w:val="none"/>
        </w:rPr>
        <w:t>自然条件和对外交通</w:t>
      </w:r>
    </w:p>
    <w:p>
      <w:pPr>
        <w:pStyle w:val="415"/>
        <w:rPr>
          <w:color w:val="auto"/>
          <w:highlight w:val="none"/>
        </w:rPr>
      </w:pPr>
      <w:r>
        <w:rPr>
          <w:rFonts w:hint="eastAsia"/>
          <w:color w:val="auto"/>
          <w:highlight w:val="none"/>
        </w:rPr>
        <w:t>流溪河流域地处南亚热带，属南亚热带典型的季风海洋气候，具有温暖多雨、光热充足、温差较小、夏季长、霜期短(南部地区无霜期，北部地区霜期短)等气候特征。冬季，蒙古高压势力强盛，极地大陆气团笼罩华南地区，气候干冷，睛天为主，春季（2～4月）大陆高压衰减，副热带太平洋高压西伸，温湿水汽开始流入，常出现梅雨天气；夏初南北气团进退不定，受西风带系统和热带系统共同作用，5～6月份有连续暴雨和特大暴雨，7～8月份随副热高压的北移，高压西北雨带也移至江淮一带，受热带季风影响，以热带气旋和热带低压形成的暴雨为本流域主要降雨过程，有些年份台风活动较少，雨量偏少，8后汛期结束，气温高而出现干旱，9～11月东亚季风减弱，北方冷空气开始活动，天气晴朗少云，有些年份出现秋旱。</w:t>
      </w:r>
    </w:p>
    <w:p>
      <w:pPr>
        <w:pStyle w:val="415"/>
        <w:rPr>
          <w:color w:val="auto"/>
          <w:highlight w:val="none"/>
        </w:rPr>
      </w:pPr>
      <w:r>
        <w:rPr>
          <w:rFonts w:hint="eastAsia"/>
          <w:color w:val="auto"/>
          <w:highlight w:val="none"/>
        </w:rPr>
        <w:t>流溪河流域多年平均气温在21.4℃～21.8℃之间，年内气温以7月份为最高，1月份为最低。绝对最高气温出现在白云区，达38.7℃；绝对最低气温出现在从化吕田，达-7℃。流域多年平均风速1.9m/s。多年平均日照时数约1900小时；对年平均相对湿度77％。</w:t>
      </w:r>
    </w:p>
    <w:p>
      <w:pPr>
        <w:pStyle w:val="415"/>
        <w:rPr>
          <w:color w:val="auto"/>
          <w:highlight w:val="none"/>
          <w:lang w:val="en-US"/>
        </w:rPr>
      </w:pPr>
      <w:r>
        <w:rPr>
          <w:rFonts w:hint="eastAsia"/>
          <w:color w:val="auto"/>
          <w:highlight w:val="none"/>
          <w:lang w:val="en-US"/>
        </w:rPr>
        <w:t>流溪河流域多年平均降雨量1823.6mm，最大年降雨量为2885mm，最小年降雨量为1157mm。前汛期(4～6月)占年降雨量的48.1％，后汛期(7～9月)占年降雨量的33.2％，合计(4～9月)降雨量占全年的81.3％，形成丰、枯季节不均的状况。</w:t>
      </w:r>
    </w:p>
    <w:p>
      <w:pPr>
        <w:pStyle w:val="415"/>
        <w:rPr>
          <w:rFonts w:hint="eastAsia"/>
          <w:color w:val="auto"/>
          <w:highlight w:val="none"/>
          <w:lang w:val="en-US"/>
        </w:rPr>
      </w:pPr>
      <w:bookmarkStart w:id="333" w:name="OLE_LINK3"/>
      <w:r>
        <w:rPr>
          <w:rFonts w:hint="eastAsia"/>
          <w:color w:val="auto"/>
          <w:highlight w:val="none"/>
          <w:lang w:val="en-US"/>
        </w:rPr>
        <w:t>据现场考察情况，</w:t>
      </w:r>
      <w:r>
        <w:rPr>
          <w:rFonts w:hint="eastAsia"/>
          <w:color w:val="auto"/>
          <w:highlight w:val="none"/>
          <w:lang w:val="en-US" w:eastAsia="zh-CN"/>
        </w:rPr>
        <w:t>本工程位于温泉镇桃莲村后山腰间，有混凝土路面的村社道直达山脚下，山脚至施工现场有山路连接，需修建临时施工道路。本工程拟在山脚下修建1条临时施工道路至施工现场，总长为400m，路宽为5m，机械平整场地后面铺筑泥结碎石路面，厚度为150mm，铺筑材料待完工后均需清理外弃，外弃综合运距为8km。</w:t>
      </w:r>
    </w:p>
    <w:bookmarkEnd w:id="333"/>
    <w:p>
      <w:pPr>
        <w:pStyle w:val="335"/>
        <w:spacing w:before="120" w:after="120"/>
        <w:rPr>
          <w:color w:val="auto"/>
          <w:highlight w:val="none"/>
        </w:rPr>
      </w:pPr>
      <w:r>
        <w:rPr>
          <w:rFonts w:hint="eastAsia"/>
          <w:color w:val="auto"/>
          <w:highlight w:val="none"/>
          <w:lang w:val="en-US" w:eastAsia="zh-CN"/>
        </w:rPr>
        <w:t>7</w:t>
      </w:r>
      <w:r>
        <w:rPr>
          <w:rFonts w:hint="eastAsia"/>
          <w:color w:val="auto"/>
          <w:highlight w:val="none"/>
        </w:rPr>
        <w:t>.</w:t>
      </w:r>
      <w:r>
        <w:rPr>
          <w:color w:val="auto"/>
          <w:highlight w:val="none"/>
        </w:rPr>
        <w:t>1.3</w:t>
      </w:r>
      <w:r>
        <w:rPr>
          <w:rFonts w:hint="eastAsia"/>
          <w:color w:val="auto"/>
          <w:highlight w:val="none"/>
        </w:rPr>
        <w:t xml:space="preserve"> </w:t>
      </w:r>
      <w:r>
        <w:rPr>
          <w:color w:val="auto"/>
          <w:highlight w:val="none"/>
        </w:rPr>
        <w:t>建筑材料来源</w:t>
      </w:r>
    </w:p>
    <w:p>
      <w:pPr>
        <w:pStyle w:val="415"/>
        <w:rPr>
          <w:color w:val="auto"/>
          <w:highlight w:val="none"/>
        </w:rPr>
      </w:pPr>
      <w:r>
        <w:rPr>
          <w:color w:val="auto"/>
          <w:highlight w:val="none"/>
        </w:rPr>
        <w:t xml:space="preserve">工程施工所用材料，如水泥、木材，砂、块石、碎石等均按外购考虑。    </w:t>
      </w:r>
    </w:p>
    <w:p>
      <w:pPr>
        <w:pStyle w:val="335"/>
        <w:spacing w:before="120" w:after="120"/>
        <w:rPr>
          <w:color w:val="auto"/>
          <w:highlight w:val="none"/>
        </w:rPr>
      </w:pPr>
      <w:r>
        <w:rPr>
          <w:rFonts w:hint="eastAsia"/>
          <w:color w:val="auto"/>
          <w:highlight w:val="none"/>
          <w:lang w:val="en-US" w:eastAsia="zh-CN"/>
        </w:rPr>
        <w:t>7</w:t>
      </w:r>
      <w:r>
        <w:rPr>
          <w:rFonts w:hint="eastAsia"/>
          <w:color w:val="auto"/>
          <w:highlight w:val="none"/>
        </w:rPr>
        <w:t>.</w:t>
      </w:r>
      <w:r>
        <w:rPr>
          <w:color w:val="auto"/>
          <w:highlight w:val="none"/>
        </w:rPr>
        <w:t>1.4</w:t>
      </w:r>
      <w:r>
        <w:rPr>
          <w:rFonts w:hint="eastAsia"/>
          <w:color w:val="auto"/>
          <w:highlight w:val="none"/>
        </w:rPr>
        <w:t xml:space="preserve"> </w:t>
      </w:r>
      <w:r>
        <w:rPr>
          <w:color w:val="auto"/>
          <w:highlight w:val="none"/>
        </w:rPr>
        <w:t>水、电配置条件</w:t>
      </w:r>
    </w:p>
    <w:p>
      <w:pPr>
        <w:pStyle w:val="415"/>
        <w:rPr>
          <w:color w:val="auto"/>
          <w:highlight w:val="none"/>
        </w:rPr>
      </w:pPr>
      <w:r>
        <w:rPr>
          <w:rFonts w:hint="eastAsia"/>
          <w:color w:val="auto"/>
          <w:highlight w:val="none"/>
        </w:rPr>
        <w:t>施工用水采用自来水，联系供水水网（水厂）接管延伸至施工现场。施工用电可联系当地有关部门联系引接地方电网，</w:t>
      </w:r>
      <w:r>
        <w:rPr>
          <w:color w:val="auto"/>
          <w:highlight w:val="none"/>
        </w:rPr>
        <w:t>当附近电源无法提供用电保障或需要接线较长时，采用自备</w:t>
      </w:r>
      <w:r>
        <w:rPr>
          <w:rFonts w:hint="eastAsia"/>
          <w:color w:val="auto"/>
          <w:highlight w:val="none"/>
        </w:rPr>
        <w:t>移动式</w:t>
      </w:r>
      <w:r>
        <w:rPr>
          <w:color w:val="auto"/>
          <w:highlight w:val="none"/>
        </w:rPr>
        <w:t>柴油发电设备以保障施工用电。</w:t>
      </w:r>
    </w:p>
    <w:p>
      <w:pPr>
        <w:pStyle w:val="3"/>
        <w:rPr>
          <w:color w:val="auto"/>
          <w:highlight w:val="none"/>
        </w:rPr>
      </w:pPr>
      <w:bookmarkStart w:id="334" w:name="_Toc493170001"/>
      <w:bookmarkStart w:id="335" w:name="_Toc27042031"/>
      <w:bookmarkStart w:id="336" w:name="_Toc4630"/>
      <w:r>
        <w:rPr>
          <w:rFonts w:hint="eastAsia"/>
          <w:color w:val="auto"/>
          <w:highlight w:val="none"/>
          <w:lang w:val="en-US" w:eastAsia="zh-CN"/>
        </w:rPr>
        <w:t>7.</w:t>
      </w:r>
      <w:r>
        <w:rPr>
          <w:color w:val="auto"/>
          <w:highlight w:val="none"/>
        </w:rPr>
        <w:t>2</w:t>
      </w:r>
      <w:r>
        <w:rPr>
          <w:rFonts w:hint="eastAsia"/>
          <w:color w:val="auto"/>
          <w:highlight w:val="none"/>
        </w:rPr>
        <w:t xml:space="preserve"> </w:t>
      </w:r>
      <w:r>
        <w:rPr>
          <w:color w:val="auto"/>
          <w:highlight w:val="none"/>
        </w:rPr>
        <w:t>施工导流</w:t>
      </w:r>
      <w:bookmarkEnd w:id="334"/>
      <w:bookmarkEnd w:id="335"/>
      <w:bookmarkEnd w:id="336"/>
    </w:p>
    <w:p>
      <w:pPr>
        <w:pStyle w:val="335"/>
        <w:spacing w:before="120" w:after="120"/>
        <w:rPr>
          <w:color w:val="auto"/>
          <w:highlight w:val="none"/>
        </w:rPr>
      </w:pPr>
      <w:r>
        <w:rPr>
          <w:rFonts w:hint="eastAsia"/>
          <w:color w:val="auto"/>
          <w:highlight w:val="none"/>
          <w:lang w:val="en-US" w:eastAsia="zh-CN"/>
        </w:rPr>
        <w:t>7</w:t>
      </w:r>
      <w:r>
        <w:rPr>
          <w:rFonts w:hint="eastAsia"/>
          <w:color w:val="auto"/>
          <w:highlight w:val="none"/>
        </w:rPr>
        <w:t>.</w:t>
      </w:r>
      <w:r>
        <w:rPr>
          <w:color w:val="auto"/>
          <w:highlight w:val="none"/>
        </w:rPr>
        <w:t>2</w:t>
      </w:r>
      <w:r>
        <w:rPr>
          <w:rFonts w:hint="eastAsia"/>
          <w:color w:val="auto"/>
          <w:highlight w:val="none"/>
        </w:rPr>
        <w:t>.1 导流标准及导流方式</w:t>
      </w:r>
    </w:p>
    <w:p>
      <w:pPr>
        <w:ind w:firstLine="480"/>
        <w:rPr>
          <w:snapToGrid w:val="0"/>
          <w:color w:val="auto"/>
          <w:kern w:val="0"/>
          <w:szCs w:val="18"/>
          <w:highlight w:val="none"/>
          <w:lang w:val="zh-CN"/>
        </w:rPr>
      </w:pPr>
      <w:bookmarkStart w:id="337" w:name="OLE_LINK5"/>
      <w:r>
        <w:rPr>
          <w:rFonts w:hint="eastAsia"/>
          <w:snapToGrid w:val="0"/>
          <w:color w:val="auto"/>
          <w:kern w:val="0"/>
          <w:szCs w:val="18"/>
          <w:highlight w:val="none"/>
          <w:lang w:val="zh-CN"/>
        </w:rPr>
        <w:t>根据《灌溉与排水工程设计标准》（GB50288-2018），《水利水电工程等级划分及洪水标准》（SL252-2017），灌溉渠道等级与灌溉设计流量相关，根据渠道各段灌溉设计流量，南大水库灌区干渠全段为5级渠道。因此，施工期临时建筑物级别为5级，施工期洪水标准均取5年一遇。</w:t>
      </w:r>
    </w:p>
    <w:bookmarkEnd w:id="337"/>
    <w:p>
      <w:pPr>
        <w:pStyle w:val="335"/>
        <w:spacing w:before="120" w:after="120"/>
        <w:rPr>
          <w:color w:val="auto"/>
          <w:highlight w:val="none"/>
        </w:rPr>
      </w:pPr>
      <w:r>
        <w:rPr>
          <w:rFonts w:hint="eastAsia"/>
          <w:color w:val="auto"/>
          <w:highlight w:val="none"/>
          <w:lang w:val="en-US" w:eastAsia="zh-CN"/>
        </w:rPr>
        <w:t>7</w:t>
      </w:r>
      <w:r>
        <w:rPr>
          <w:rFonts w:hint="eastAsia"/>
          <w:color w:val="auto"/>
          <w:highlight w:val="none"/>
        </w:rPr>
        <w:t>.</w:t>
      </w:r>
      <w:r>
        <w:rPr>
          <w:color w:val="auto"/>
          <w:highlight w:val="none"/>
        </w:rPr>
        <w:t>2</w:t>
      </w:r>
      <w:r>
        <w:rPr>
          <w:rFonts w:hint="eastAsia"/>
          <w:color w:val="auto"/>
          <w:highlight w:val="none"/>
        </w:rPr>
        <w:t>.2 施工导流方案</w:t>
      </w:r>
    </w:p>
    <w:p>
      <w:pPr>
        <w:ind w:firstLine="480"/>
        <w:rPr>
          <w:rFonts w:hint="eastAsia"/>
          <w:snapToGrid w:val="0"/>
          <w:color w:val="auto"/>
          <w:kern w:val="0"/>
          <w:szCs w:val="18"/>
          <w:highlight w:val="none"/>
          <w:lang w:val="zh-CN"/>
        </w:rPr>
      </w:pPr>
      <w:bookmarkStart w:id="338" w:name="OLE_LINK4"/>
      <w:r>
        <w:rPr>
          <w:rFonts w:hint="eastAsia"/>
          <w:snapToGrid w:val="0"/>
          <w:color w:val="auto"/>
          <w:kern w:val="0"/>
          <w:szCs w:val="18"/>
          <w:highlight w:val="none"/>
          <w:lang w:val="zh-CN"/>
        </w:rPr>
        <w:t>由于本工程改造段现状已多年不通水，本工程施工时在工程起点处设置围堰拦截来水即可，不需考虑施工导流措施。施工期间如遇暴雨，可从渠道沿线原有泄洪闸排泄。</w:t>
      </w:r>
    </w:p>
    <w:bookmarkEnd w:id="338"/>
    <w:p>
      <w:pPr>
        <w:pStyle w:val="3"/>
        <w:rPr>
          <w:color w:val="auto"/>
          <w:highlight w:val="none"/>
        </w:rPr>
      </w:pPr>
      <w:bookmarkStart w:id="339" w:name="_Toc493170002"/>
      <w:bookmarkStart w:id="340" w:name="_Toc27042032"/>
      <w:bookmarkStart w:id="341" w:name="_Toc15946"/>
      <w:r>
        <w:rPr>
          <w:rFonts w:hint="eastAsia"/>
          <w:color w:val="auto"/>
          <w:highlight w:val="none"/>
          <w:lang w:val="en-US" w:eastAsia="zh-CN"/>
        </w:rPr>
        <w:t>7</w:t>
      </w:r>
      <w:r>
        <w:rPr>
          <w:rFonts w:hint="eastAsia"/>
          <w:color w:val="auto"/>
          <w:highlight w:val="none"/>
        </w:rPr>
        <w:t>.</w:t>
      </w:r>
      <w:r>
        <w:rPr>
          <w:color w:val="auto"/>
          <w:highlight w:val="none"/>
        </w:rPr>
        <w:t>3</w:t>
      </w:r>
      <w:r>
        <w:rPr>
          <w:rFonts w:hint="eastAsia"/>
          <w:color w:val="auto"/>
          <w:highlight w:val="none"/>
        </w:rPr>
        <w:t xml:space="preserve"> </w:t>
      </w:r>
      <w:r>
        <w:rPr>
          <w:color w:val="auto"/>
          <w:highlight w:val="none"/>
        </w:rPr>
        <w:t>主体工程施工</w:t>
      </w:r>
      <w:bookmarkEnd w:id="339"/>
      <w:bookmarkEnd w:id="340"/>
      <w:bookmarkEnd w:id="341"/>
    </w:p>
    <w:p>
      <w:pPr>
        <w:pStyle w:val="335"/>
        <w:spacing w:before="120" w:after="120"/>
        <w:rPr>
          <w:color w:val="auto"/>
          <w:highlight w:val="none"/>
        </w:rPr>
      </w:pPr>
      <w:r>
        <w:rPr>
          <w:rFonts w:hint="eastAsia"/>
          <w:color w:val="auto"/>
          <w:highlight w:val="none"/>
          <w:lang w:val="en-US" w:eastAsia="zh-CN"/>
        </w:rPr>
        <w:t>7</w:t>
      </w:r>
      <w:r>
        <w:rPr>
          <w:rFonts w:hint="eastAsia"/>
          <w:color w:val="auto"/>
          <w:highlight w:val="none"/>
        </w:rPr>
        <w:t>.3.1 土方工程</w:t>
      </w:r>
    </w:p>
    <w:p>
      <w:pPr>
        <w:pStyle w:val="415"/>
        <w:rPr>
          <w:color w:val="auto"/>
          <w:highlight w:val="none"/>
        </w:rPr>
      </w:pPr>
      <w:r>
        <w:rPr>
          <w:rFonts w:hint="eastAsia"/>
          <w:color w:val="auto"/>
          <w:highlight w:val="none"/>
        </w:rPr>
        <w:t>（1）清表</w:t>
      </w:r>
    </w:p>
    <w:p>
      <w:pPr>
        <w:pStyle w:val="415"/>
        <w:rPr>
          <w:color w:val="auto"/>
          <w:highlight w:val="none"/>
        </w:rPr>
      </w:pPr>
      <w:r>
        <w:rPr>
          <w:rFonts w:hint="eastAsia"/>
          <w:color w:val="auto"/>
          <w:highlight w:val="none"/>
        </w:rPr>
        <w:t>采用74kW推土机推松清理、堆放，配备5t自卸汽车运至指定弃渣场。运输土方时不得干扰正常社会车辆的行驶，运输土方所用的车辆采用有盖的散装材料运输车，运输车在进入城市道路前须清洗干净，否则不得驶入城市交通道路；在运输及堆放土方的过程中，皆不得对环境造成污染。</w:t>
      </w:r>
    </w:p>
    <w:p>
      <w:pPr>
        <w:pStyle w:val="415"/>
        <w:rPr>
          <w:color w:val="auto"/>
          <w:highlight w:val="none"/>
        </w:rPr>
      </w:pPr>
      <w:r>
        <w:rPr>
          <w:rFonts w:hint="eastAsia"/>
          <w:color w:val="auto"/>
          <w:highlight w:val="none"/>
        </w:rPr>
        <w:t>（2）土方开挖</w:t>
      </w:r>
    </w:p>
    <w:p>
      <w:pPr>
        <w:pStyle w:val="415"/>
        <w:rPr>
          <w:color w:val="auto"/>
          <w:highlight w:val="none"/>
        </w:rPr>
      </w:pPr>
      <w:r>
        <w:rPr>
          <w:rFonts w:hint="eastAsia"/>
          <w:color w:val="auto"/>
          <w:highlight w:val="none"/>
        </w:rPr>
        <w:t>采用 1</w:t>
      </w:r>
      <w:r>
        <w:rPr>
          <w:rFonts w:hint="eastAsia"/>
          <w:color w:val="auto"/>
          <w:highlight w:val="none"/>
          <w:lang w:eastAsia="zh-CN"/>
        </w:rPr>
        <w:t>m³</w:t>
      </w:r>
      <w:r>
        <w:rPr>
          <w:rFonts w:hint="eastAsia"/>
          <w:color w:val="auto"/>
          <w:highlight w:val="none"/>
        </w:rPr>
        <w:t>挖掘机扒、挖，人工辅助修坡。岸边部分可直接用挖掘机扒、挖，配备5t自卸汽车运至指定弃渣场，推土机配合集渣。利用于回填的土方则运至岸边临时堆土场，临时堆土场综合运距为</w:t>
      </w:r>
      <w:r>
        <w:rPr>
          <w:rFonts w:hint="eastAsia"/>
          <w:color w:val="auto"/>
          <w:highlight w:val="none"/>
          <w:lang w:val="en-US" w:eastAsia="zh-CN"/>
        </w:rPr>
        <w:t>1000</w:t>
      </w:r>
      <w:r>
        <w:rPr>
          <w:rFonts w:hint="eastAsia"/>
          <w:color w:val="auto"/>
          <w:highlight w:val="none"/>
        </w:rPr>
        <w:t>m内。</w:t>
      </w:r>
    </w:p>
    <w:p>
      <w:pPr>
        <w:pStyle w:val="415"/>
        <w:rPr>
          <w:color w:val="auto"/>
          <w:highlight w:val="none"/>
        </w:rPr>
      </w:pPr>
      <w:r>
        <w:rPr>
          <w:rFonts w:hint="eastAsia"/>
          <w:color w:val="auto"/>
          <w:highlight w:val="none"/>
        </w:rPr>
        <w:t>（3）回填土方</w:t>
      </w:r>
    </w:p>
    <w:p>
      <w:pPr>
        <w:pStyle w:val="419"/>
        <w:snapToGrid/>
        <w:spacing w:beforeLines="0"/>
        <w:ind w:firstLine="480"/>
        <w:outlineLvl w:val="9"/>
        <w:rPr>
          <w:rFonts w:eastAsia="宋体"/>
          <w:snapToGrid w:val="0"/>
          <w:color w:val="auto"/>
          <w:kern w:val="0"/>
          <w:szCs w:val="18"/>
          <w:highlight w:val="none"/>
          <w:lang w:val="zh-CN"/>
        </w:rPr>
      </w:pPr>
      <w:r>
        <w:rPr>
          <w:rStyle w:val="417"/>
          <w:rFonts w:hint="eastAsia" w:ascii="宋体" w:hAnsi="宋体" w:eastAsia="宋体" w:cs="宋体"/>
          <w:color w:val="auto"/>
          <w:highlight w:val="none"/>
        </w:rPr>
        <w:t>为保证各工序能够连续共进，填筑采用分段、分层加土施工。施工方法采用74kw推土机平土，74kw履带式拖拉机碾压，在新层</w:t>
      </w:r>
      <w:r>
        <w:rPr>
          <w:rFonts w:hint="eastAsia" w:eastAsia="宋体"/>
          <w:snapToGrid w:val="0"/>
          <w:color w:val="auto"/>
          <w:kern w:val="0"/>
          <w:szCs w:val="18"/>
          <w:highlight w:val="none"/>
          <w:lang w:val="zh-CN"/>
        </w:rPr>
        <w:t>铺料前，应对压光层面作刨毛处理。拖拉机无法施工的边角部位采用人工回填土，蛙式打夯机夯实，边角部位采用夯锤夯实。</w:t>
      </w:r>
    </w:p>
    <w:p>
      <w:pPr>
        <w:pStyle w:val="335"/>
        <w:spacing w:before="120" w:after="120"/>
        <w:rPr>
          <w:color w:val="auto"/>
          <w:highlight w:val="none"/>
        </w:rPr>
      </w:pPr>
      <w:r>
        <w:rPr>
          <w:rFonts w:hint="eastAsia"/>
          <w:color w:val="auto"/>
          <w:highlight w:val="none"/>
          <w:lang w:val="en-US" w:eastAsia="zh-CN"/>
        </w:rPr>
        <w:t>7</w:t>
      </w:r>
      <w:r>
        <w:rPr>
          <w:rFonts w:hint="eastAsia"/>
          <w:color w:val="auto"/>
          <w:highlight w:val="none"/>
        </w:rPr>
        <w:t>.3.2 钢筋</w:t>
      </w:r>
      <w:r>
        <w:rPr>
          <w:color w:val="auto"/>
          <w:highlight w:val="none"/>
        </w:rPr>
        <w:t>砼施工</w:t>
      </w:r>
    </w:p>
    <w:p>
      <w:pPr>
        <w:pStyle w:val="415"/>
        <w:rPr>
          <w:color w:val="auto"/>
          <w:highlight w:val="none"/>
        </w:rPr>
      </w:pPr>
      <w:r>
        <w:rPr>
          <w:rFonts w:hint="eastAsia"/>
          <w:color w:val="auto"/>
          <w:highlight w:val="none"/>
        </w:rPr>
        <w:t>（</w:t>
      </w:r>
      <w:r>
        <w:rPr>
          <w:color w:val="auto"/>
          <w:highlight w:val="none"/>
        </w:rPr>
        <w:t>1）模板工程</w:t>
      </w:r>
    </w:p>
    <w:p>
      <w:pPr>
        <w:pStyle w:val="415"/>
        <w:rPr>
          <w:color w:val="auto"/>
          <w:highlight w:val="none"/>
        </w:rPr>
      </w:pPr>
      <w:r>
        <w:rPr>
          <w:rFonts w:hint="eastAsia"/>
          <w:color w:val="auto"/>
          <w:highlight w:val="none"/>
        </w:rPr>
        <w:t>模板须保证砼浇筑后结构的几何形状、尺寸及相互位置符合设计要求，加工和架立的模板具有足够稳定性、刚度和强度，特别是木模板表面应尽量光洁平整、接缝严密、不漏浆，以保证砼表面的光洁度。</w:t>
      </w:r>
    </w:p>
    <w:p>
      <w:pPr>
        <w:pStyle w:val="415"/>
        <w:rPr>
          <w:color w:val="auto"/>
          <w:highlight w:val="none"/>
        </w:rPr>
      </w:pPr>
      <w:r>
        <w:rPr>
          <w:rFonts w:hint="eastAsia"/>
          <w:color w:val="auto"/>
          <w:highlight w:val="none"/>
        </w:rPr>
        <w:t>（</w:t>
      </w:r>
      <w:r>
        <w:rPr>
          <w:color w:val="auto"/>
          <w:highlight w:val="none"/>
        </w:rPr>
        <w:t>2）钢筋工程</w:t>
      </w:r>
    </w:p>
    <w:p>
      <w:pPr>
        <w:pStyle w:val="415"/>
        <w:rPr>
          <w:color w:val="auto"/>
          <w:highlight w:val="none"/>
        </w:rPr>
      </w:pPr>
      <w:r>
        <w:rPr>
          <w:rFonts w:hint="eastAsia"/>
          <w:color w:val="auto"/>
          <w:highlight w:val="none"/>
        </w:rPr>
        <w:t>钢筋原材料须按不同的等级、牌号、规格挂牌分别堆放，不得混堆。在运输、贮存过程中应注意防雨，尽量避免锈蚀和污染，露天堆放时须垫高并铺防雨材料，露天堆放钢材应尽快优先使用。</w:t>
      </w:r>
    </w:p>
    <w:p>
      <w:pPr>
        <w:pStyle w:val="415"/>
        <w:rPr>
          <w:color w:val="auto"/>
          <w:highlight w:val="none"/>
        </w:rPr>
      </w:pPr>
      <w:r>
        <w:rPr>
          <w:rFonts w:hint="eastAsia"/>
          <w:color w:val="auto"/>
          <w:highlight w:val="none"/>
        </w:rPr>
        <w:t>钢筋尺寸须按设计和规范要求进行加工，对加工好的钢筋应分类挂牌堆放，专人负责，堆放场地要整齐规范，钢筋要便于取出。</w:t>
      </w:r>
    </w:p>
    <w:p>
      <w:pPr>
        <w:pStyle w:val="415"/>
        <w:rPr>
          <w:color w:val="auto"/>
          <w:highlight w:val="none"/>
        </w:rPr>
      </w:pPr>
      <w:r>
        <w:rPr>
          <w:rFonts w:hint="eastAsia"/>
          <w:color w:val="auto"/>
          <w:highlight w:val="none"/>
        </w:rPr>
        <w:t>钢筋安装要严格按要求进行，注意保护层垫块是否安装到位，钢筋绑扎是否符合要求，焊接和搭接钢筋长度是否达到规范要求等。</w:t>
      </w:r>
    </w:p>
    <w:p>
      <w:pPr>
        <w:pStyle w:val="415"/>
        <w:rPr>
          <w:color w:val="auto"/>
          <w:highlight w:val="none"/>
        </w:rPr>
      </w:pPr>
      <w:r>
        <w:rPr>
          <w:rFonts w:hint="eastAsia"/>
          <w:color w:val="auto"/>
          <w:highlight w:val="none"/>
        </w:rPr>
        <w:t>（</w:t>
      </w:r>
      <w:r>
        <w:rPr>
          <w:color w:val="auto"/>
          <w:highlight w:val="none"/>
        </w:rPr>
        <w:t>3）砼工程</w:t>
      </w:r>
    </w:p>
    <w:p>
      <w:pPr>
        <w:pStyle w:val="421"/>
        <w:ind w:firstLine="480"/>
        <w:rPr>
          <w:color w:val="auto"/>
          <w:highlight w:val="none"/>
        </w:rPr>
      </w:pPr>
      <w:r>
        <w:rPr>
          <w:rFonts w:hint="eastAsia"/>
          <w:color w:val="auto"/>
          <w:highlight w:val="none"/>
        </w:rPr>
        <w:t>混凝土采用</w:t>
      </w:r>
      <w:r>
        <w:rPr>
          <w:color w:val="auto"/>
          <w:highlight w:val="none"/>
        </w:rPr>
        <w:t>商品</w:t>
      </w:r>
      <w:r>
        <w:rPr>
          <w:rFonts w:hint="eastAsia"/>
          <w:color w:val="auto"/>
          <w:highlight w:val="none"/>
        </w:rPr>
        <w:t>混凝土，混凝土拌合物从搅拌车出料后，采用胶轮车运输，综合运距为100m。胶轮车无法到达的位置，结合本工程实际情况，采用30</w:t>
      </w:r>
      <w:r>
        <w:rPr>
          <w:rFonts w:hint="eastAsia"/>
          <w:color w:val="auto"/>
          <w:highlight w:val="none"/>
          <w:lang w:eastAsia="zh-CN"/>
        </w:rPr>
        <w:t>m³</w:t>
      </w:r>
      <w:r>
        <w:rPr>
          <w:rFonts w:hint="eastAsia"/>
          <w:color w:val="auto"/>
          <w:highlight w:val="none"/>
        </w:rPr>
        <w:t>/h混凝土泵（水平输送综合运距100m）或溜槽（斜长9m）的方式运输混凝土。送至浇筑点进行浇筑、振捣，并用人工找补均匀，如发现有离析现象，应用铁锹翻拌。</w:t>
      </w:r>
    </w:p>
    <w:p>
      <w:pPr>
        <w:pStyle w:val="421"/>
        <w:ind w:firstLine="480"/>
        <w:rPr>
          <w:color w:val="auto"/>
          <w:highlight w:val="none"/>
        </w:rPr>
      </w:pPr>
      <w:r>
        <w:rPr>
          <w:rFonts w:hint="eastAsia"/>
          <w:color w:val="auto"/>
          <w:highlight w:val="none"/>
        </w:rPr>
        <w:t>边浇筑边振捣，直至浆液不再有显著下沉、不冒气泡，并开始泛浆为佳。振捣间距不大于</w:t>
      </w:r>
      <w:r>
        <w:rPr>
          <w:color w:val="auto"/>
          <w:highlight w:val="none"/>
        </w:rPr>
        <w:t>30cm左右，成梅花形</w:t>
      </w:r>
      <w:r>
        <w:rPr>
          <w:rFonts w:hint="eastAsia"/>
          <w:color w:val="auto"/>
          <w:highlight w:val="none"/>
        </w:rPr>
        <w:t>移动</w:t>
      </w:r>
      <w:r>
        <w:rPr>
          <w:color w:val="auto"/>
          <w:highlight w:val="none"/>
        </w:rPr>
        <w:t>。</w:t>
      </w:r>
      <w:r>
        <w:rPr>
          <w:rFonts w:hint="eastAsia"/>
          <w:color w:val="auto"/>
          <w:highlight w:val="none"/>
        </w:rPr>
        <w:t>施工缝按规范执行，不得在变截面处随意留缝。以上施工工程都必须在监理单位监督下进行，并按规范要求及时取样送质检部门检测。只有在通过合格后，才能进行下道工序施工，严格控制施工质量。</w:t>
      </w:r>
    </w:p>
    <w:p>
      <w:pPr>
        <w:pStyle w:val="335"/>
        <w:spacing w:before="120" w:after="120"/>
        <w:rPr>
          <w:color w:val="auto"/>
          <w:highlight w:val="none"/>
        </w:rPr>
      </w:pPr>
      <w:r>
        <w:rPr>
          <w:rFonts w:hint="eastAsia"/>
          <w:color w:val="auto"/>
          <w:highlight w:val="none"/>
          <w:lang w:val="en-US" w:eastAsia="zh-CN"/>
        </w:rPr>
        <w:t>7</w:t>
      </w:r>
      <w:r>
        <w:rPr>
          <w:rFonts w:hint="eastAsia"/>
          <w:color w:val="auto"/>
          <w:highlight w:val="none"/>
        </w:rPr>
        <w:t>.3.3</w:t>
      </w:r>
      <w:r>
        <w:rPr>
          <w:rFonts w:hint="eastAsia"/>
          <w:color w:val="auto"/>
          <w:highlight w:val="none"/>
          <w:lang w:eastAsia="zh-CN"/>
        </w:rPr>
        <w:t>浆砌石</w:t>
      </w:r>
      <w:r>
        <w:rPr>
          <w:rFonts w:hint="eastAsia"/>
          <w:color w:val="auto"/>
          <w:highlight w:val="none"/>
        </w:rPr>
        <w:t>施工</w:t>
      </w:r>
    </w:p>
    <w:p>
      <w:pPr>
        <w:pStyle w:val="415"/>
        <w:rPr>
          <w:rFonts w:hint="eastAsia"/>
          <w:color w:val="auto"/>
          <w:highlight w:val="none"/>
        </w:rPr>
      </w:pPr>
      <w:r>
        <w:rPr>
          <w:rFonts w:hint="eastAsia"/>
          <w:color w:val="auto"/>
          <w:highlight w:val="none"/>
        </w:rPr>
        <w:t>浆砌石采用Mu30块石、M7.5/M10砂浆砌筑，并用挂钢丝网</w:t>
      </w:r>
      <w:r>
        <w:rPr>
          <w:rFonts w:hint="eastAsia"/>
          <w:color w:val="auto"/>
          <w:highlight w:val="none"/>
          <w:lang w:eastAsia="zh-CN"/>
        </w:rPr>
        <w:t>，1：2水泥防水砂浆批荡。</w:t>
      </w:r>
    </w:p>
    <w:p>
      <w:pPr>
        <w:pStyle w:val="415"/>
        <w:rPr>
          <w:rFonts w:hint="eastAsia"/>
          <w:color w:val="auto"/>
          <w:highlight w:val="none"/>
        </w:rPr>
      </w:pPr>
      <w:r>
        <w:rPr>
          <w:rFonts w:hint="eastAsia"/>
          <w:color w:val="auto"/>
          <w:highlight w:val="none"/>
        </w:rPr>
        <w:t>浆砌石工程所用水泥砂浆的标号，应达到设计要求，满足砂浆流动性、保水性、耐久性及粘结力、抗压强度和外观质量要求。</w:t>
      </w:r>
    </w:p>
    <w:p>
      <w:pPr>
        <w:pStyle w:val="415"/>
        <w:rPr>
          <w:rFonts w:hint="eastAsia"/>
          <w:color w:val="auto"/>
          <w:highlight w:val="none"/>
        </w:rPr>
      </w:pPr>
      <w:r>
        <w:rPr>
          <w:rFonts w:hint="eastAsia"/>
          <w:color w:val="auto"/>
          <w:highlight w:val="none"/>
        </w:rPr>
        <w:t>砂浆必须具有适当的流动性和良好的和易性，以保证浆砌石灰缝充分填满和压实。砂浆的稠度用标准圆锥体在垂直方向沉入砂浆的深度表示，一般为4~7cm。</w:t>
      </w:r>
    </w:p>
    <w:p>
      <w:pPr>
        <w:pStyle w:val="415"/>
        <w:rPr>
          <w:rFonts w:hint="eastAsia"/>
          <w:color w:val="auto"/>
          <w:highlight w:val="none"/>
        </w:rPr>
      </w:pPr>
      <w:r>
        <w:rPr>
          <w:rFonts w:hint="eastAsia"/>
          <w:color w:val="auto"/>
          <w:highlight w:val="none"/>
        </w:rPr>
        <w:t>浆砌石石料必须质地坚硬，石质均匀一致，不宜风化且未风化、无裂纹，抗压强度、耐久性、抗冻性等经试验鉴定满足要求，有石材试验报告单。要求抗压极限强度，用于主体工程的不小于30Mpa，用于附属工程的不小于25Mpa。石料表面如有泥污、水锈或苔藓，应清除洗刷干净后方准使用。石块在砌筑前应浇水湿润。</w:t>
      </w:r>
    </w:p>
    <w:p>
      <w:pPr>
        <w:pStyle w:val="415"/>
        <w:rPr>
          <w:rFonts w:hint="eastAsia"/>
          <w:color w:val="auto"/>
          <w:kern w:val="20"/>
          <w:highlight w:val="none"/>
        </w:rPr>
      </w:pPr>
      <w:r>
        <w:rPr>
          <w:rFonts w:hint="eastAsia"/>
          <w:color w:val="auto"/>
          <w:highlight w:val="none"/>
        </w:rPr>
        <w:t>浆砌石施工采用坐浆法，具体操作方法是：在基础开砌前将基础表面泥土、石片及其他杂质清除干净，以免结合不牢。铺放第一层石块时，所有石块都必须大面朝下放稳，用脚踏踩不动为止。一般大石块下不应用小块石支垫，使石面能直接与土面接触。填腹石时，应根据石块自然形状，交错放置，尽量使块石与石块间的空隙最小，然后按规定拌好的砂浆填在空隙中，以填满空隙的1/3~1/2为度，再根据各个缝隙形状和大小，选用合适的中、小石块放入，用小锤轻轻敲击，使石块全部挤入缝隙内的砂浆中，填满整个缝隙。所有空隙原则上一块挤入填满最好。如空隙过大，一块片石挤入未填满，可在未填满的空隙中，填入灰浆再用小石填。在灰缝中尽量用小片石或碎石填塞以节约灰浆，挤入的小块石不要高于砌的石面，也不必用灰浆找平。</w:t>
      </w:r>
    </w:p>
    <w:p>
      <w:pPr>
        <w:pStyle w:val="335"/>
        <w:spacing w:before="120" w:after="120"/>
        <w:rPr>
          <w:color w:val="auto"/>
          <w:highlight w:val="none"/>
        </w:rPr>
      </w:pPr>
      <w:r>
        <w:rPr>
          <w:rFonts w:hint="eastAsia"/>
          <w:color w:val="auto"/>
          <w:highlight w:val="none"/>
          <w:lang w:val="en-US" w:eastAsia="zh-CN"/>
        </w:rPr>
        <w:t>7</w:t>
      </w:r>
      <w:r>
        <w:rPr>
          <w:rFonts w:hint="eastAsia"/>
          <w:color w:val="auto"/>
          <w:highlight w:val="none"/>
        </w:rPr>
        <w:t>.3.</w:t>
      </w:r>
      <w:r>
        <w:rPr>
          <w:rFonts w:hint="eastAsia"/>
          <w:color w:val="auto"/>
          <w:highlight w:val="none"/>
          <w:lang w:val="en-US" w:eastAsia="zh-CN"/>
        </w:rPr>
        <w:t>4</w:t>
      </w:r>
      <w:r>
        <w:rPr>
          <w:rFonts w:hint="eastAsia"/>
          <w:color w:val="auto"/>
          <w:highlight w:val="none"/>
        </w:rPr>
        <w:t xml:space="preserve"> 草皮护坡</w:t>
      </w:r>
    </w:p>
    <w:p>
      <w:pPr>
        <w:pStyle w:val="421"/>
        <w:ind w:firstLine="480"/>
        <w:rPr>
          <w:color w:val="auto"/>
          <w:highlight w:val="none"/>
        </w:rPr>
      </w:pPr>
      <w:r>
        <w:rPr>
          <w:rFonts w:hint="eastAsia"/>
          <w:color w:val="auto"/>
          <w:highlight w:val="none"/>
        </w:rPr>
        <w:t>按设计进行坡度整理及草种外购，草皮铺成方格或条状叠铺，建植地表面细耙 2-3cm , 草块之间严禁翘角、重叠，踩实。然后浇水灌溉，重复几次重压踩实，使其根系与土层紧密结合。铺砌时要铲槽贴紧拍平，在铺植后的 15 天内加强洒水养护。</w:t>
      </w:r>
    </w:p>
    <w:p>
      <w:pPr>
        <w:pStyle w:val="3"/>
        <w:rPr>
          <w:color w:val="auto"/>
          <w:highlight w:val="none"/>
        </w:rPr>
      </w:pPr>
      <w:bookmarkStart w:id="342" w:name="_Toc27042033"/>
      <w:bookmarkStart w:id="343" w:name="_Toc493170003"/>
      <w:bookmarkStart w:id="344" w:name="_Toc23907"/>
      <w:r>
        <w:rPr>
          <w:rFonts w:hint="eastAsia"/>
          <w:color w:val="auto"/>
          <w:highlight w:val="none"/>
          <w:lang w:val="en-US" w:eastAsia="zh-CN"/>
        </w:rPr>
        <w:t>7</w:t>
      </w:r>
      <w:r>
        <w:rPr>
          <w:rFonts w:hint="eastAsia"/>
          <w:color w:val="auto"/>
          <w:highlight w:val="none"/>
        </w:rPr>
        <w:t>.</w:t>
      </w:r>
      <w:r>
        <w:rPr>
          <w:color w:val="auto"/>
          <w:highlight w:val="none"/>
        </w:rPr>
        <w:t>4</w:t>
      </w:r>
      <w:r>
        <w:rPr>
          <w:rFonts w:hint="eastAsia"/>
          <w:color w:val="auto"/>
          <w:highlight w:val="none"/>
        </w:rPr>
        <w:t xml:space="preserve"> </w:t>
      </w:r>
      <w:r>
        <w:rPr>
          <w:color w:val="auto"/>
          <w:highlight w:val="none"/>
        </w:rPr>
        <w:t>施工交通及施工总平面布置</w:t>
      </w:r>
      <w:bookmarkEnd w:id="342"/>
      <w:bookmarkEnd w:id="343"/>
      <w:bookmarkEnd w:id="344"/>
    </w:p>
    <w:p>
      <w:pPr>
        <w:pStyle w:val="335"/>
        <w:spacing w:before="120" w:after="120"/>
        <w:rPr>
          <w:color w:val="auto"/>
          <w:highlight w:val="none"/>
        </w:rPr>
      </w:pPr>
      <w:r>
        <w:rPr>
          <w:rFonts w:hint="eastAsia"/>
          <w:color w:val="auto"/>
          <w:highlight w:val="none"/>
          <w:lang w:val="en-US" w:eastAsia="zh-CN"/>
        </w:rPr>
        <w:t>7</w:t>
      </w:r>
      <w:r>
        <w:rPr>
          <w:rFonts w:hint="eastAsia"/>
          <w:color w:val="auto"/>
          <w:highlight w:val="none"/>
        </w:rPr>
        <w:t>.</w:t>
      </w:r>
      <w:r>
        <w:rPr>
          <w:color w:val="auto"/>
          <w:highlight w:val="none"/>
        </w:rPr>
        <w:t>4.1</w:t>
      </w:r>
      <w:r>
        <w:rPr>
          <w:rFonts w:hint="eastAsia"/>
          <w:color w:val="auto"/>
          <w:highlight w:val="none"/>
        </w:rPr>
        <w:t xml:space="preserve"> </w:t>
      </w:r>
      <w:r>
        <w:rPr>
          <w:color w:val="auto"/>
          <w:highlight w:val="none"/>
        </w:rPr>
        <w:t>临时设施布置</w:t>
      </w:r>
    </w:p>
    <w:p>
      <w:pPr>
        <w:pStyle w:val="415"/>
        <w:rPr>
          <w:color w:val="auto"/>
          <w:highlight w:val="none"/>
        </w:rPr>
      </w:pPr>
      <w:r>
        <w:rPr>
          <w:rFonts w:hint="eastAsia"/>
          <w:color w:val="auto"/>
          <w:highlight w:val="none"/>
        </w:rPr>
        <w:t>通过现场考察和综合分析，针对河涌平面布置情况及生产、生活临时措施需要，采用集中布置原则进行施工。布置以减少占地为目的，紧凑布置临时施工设施，尽量将生活区和生产区区分开来。临时施工占地考虑仓库、办公、生活、生产临时施工用房及材料堆放场、施工机械停放场等。</w:t>
      </w:r>
      <w:r>
        <w:rPr>
          <w:color w:val="auto"/>
          <w:highlight w:val="none"/>
        </w:rPr>
        <w:t>不设专门的机械修配厂及汽车修理厂，上述设备的维修养护可以在附近的修理加工厂进行。</w:t>
      </w:r>
    </w:p>
    <w:p>
      <w:pPr>
        <w:pStyle w:val="335"/>
        <w:spacing w:before="120" w:after="120"/>
        <w:rPr>
          <w:color w:val="auto"/>
          <w:highlight w:val="none"/>
        </w:rPr>
      </w:pPr>
      <w:r>
        <w:rPr>
          <w:rFonts w:hint="eastAsia"/>
          <w:color w:val="auto"/>
          <w:highlight w:val="none"/>
          <w:lang w:val="en-US" w:eastAsia="zh-CN"/>
        </w:rPr>
        <w:t>7</w:t>
      </w:r>
      <w:r>
        <w:rPr>
          <w:rFonts w:hint="eastAsia"/>
          <w:color w:val="auto"/>
          <w:highlight w:val="none"/>
        </w:rPr>
        <w:t>.</w:t>
      </w:r>
      <w:r>
        <w:rPr>
          <w:color w:val="auto"/>
          <w:highlight w:val="none"/>
        </w:rPr>
        <w:t>4.2</w:t>
      </w:r>
      <w:r>
        <w:rPr>
          <w:rFonts w:hint="eastAsia"/>
          <w:color w:val="auto"/>
          <w:highlight w:val="none"/>
        </w:rPr>
        <w:t xml:space="preserve"> </w:t>
      </w:r>
      <w:r>
        <w:rPr>
          <w:color w:val="auto"/>
          <w:highlight w:val="none"/>
        </w:rPr>
        <w:t>场内交通运输</w:t>
      </w:r>
    </w:p>
    <w:p>
      <w:pPr>
        <w:pStyle w:val="415"/>
        <w:rPr>
          <w:rFonts w:hint="eastAsia" w:eastAsia="宋体"/>
          <w:color w:val="auto"/>
          <w:highlight w:val="none"/>
          <w:lang w:eastAsia="zh-CN"/>
        </w:rPr>
      </w:pPr>
      <w:r>
        <w:rPr>
          <w:rFonts w:hint="eastAsia"/>
          <w:color w:val="auto"/>
          <w:highlight w:val="none"/>
          <w:lang w:eastAsia="zh-CN"/>
        </w:rPr>
        <w:t>本次改造渠道右岸为原状山体，无法通行施工机械，左岸为</w:t>
      </w:r>
      <w:r>
        <w:rPr>
          <w:rFonts w:hint="eastAsia"/>
          <w:color w:val="auto"/>
          <w:highlight w:val="none"/>
          <w:lang w:val="en-US" w:eastAsia="zh-CN"/>
        </w:rPr>
        <w:t>1~2.5m的渠堤路，外边坡比较陡，施工机械无法通行，但小型的施工机械可通过渠道底通行，故本工程考虑全部建筑材料需进行二次运输，采用手扶拖拉机转运，综合运距为500m。</w:t>
      </w:r>
    </w:p>
    <w:p>
      <w:pPr>
        <w:pStyle w:val="3"/>
        <w:rPr>
          <w:color w:val="auto"/>
          <w:highlight w:val="none"/>
        </w:rPr>
      </w:pPr>
      <w:bookmarkStart w:id="345" w:name="_Toc27042034"/>
      <w:bookmarkStart w:id="346" w:name="_Toc493170004"/>
      <w:bookmarkStart w:id="347" w:name="_Toc9132"/>
      <w:r>
        <w:rPr>
          <w:rFonts w:hint="eastAsia"/>
          <w:color w:val="auto"/>
          <w:highlight w:val="none"/>
          <w:lang w:val="en-US" w:eastAsia="zh-CN"/>
        </w:rPr>
        <w:t>7</w:t>
      </w:r>
      <w:r>
        <w:rPr>
          <w:rFonts w:hint="eastAsia"/>
          <w:color w:val="auto"/>
          <w:highlight w:val="none"/>
        </w:rPr>
        <w:t>.</w:t>
      </w:r>
      <w:r>
        <w:rPr>
          <w:color w:val="auto"/>
          <w:highlight w:val="none"/>
        </w:rPr>
        <w:t>5</w:t>
      </w:r>
      <w:r>
        <w:rPr>
          <w:rFonts w:hint="eastAsia"/>
          <w:color w:val="auto"/>
          <w:highlight w:val="none"/>
        </w:rPr>
        <w:t xml:space="preserve"> </w:t>
      </w:r>
      <w:r>
        <w:rPr>
          <w:color w:val="auto"/>
          <w:highlight w:val="none"/>
        </w:rPr>
        <w:t>施工总进度</w:t>
      </w:r>
      <w:bookmarkEnd w:id="345"/>
      <w:bookmarkEnd w:id="346"/>
      <w:bookmarkEnd w:id="347"/>
    </w:p>
    <w:p>
      <w:pPr>
        <w:pStyle w:val="415"/>
        <w:rPr>
          <w:color w:val="auto"/>
          <w:highlight w:val="none"/>
        </w:rPr>
      </w:pPr>
      <w:bookmarkStart w:id="348" w:name="OLE_LINK6"/>
      <w:r>
        <w:rPr>
          <w:rFonts w:hint="eastAsia"/>
          <w:color w:val="auto"/>
          <w:highlight w:val="none"/>
        </w:rPr>
        <w:t>结合本工程施工场地、条件和特性，制定具体施工方案， 施工进度分为：</w:t>
      </w:r>
    </w:p>
    <w:p>
      <w:pPr>
        <w:pStyle w:val="415"/>
        <w:rPr>
          <w:color w:val="auto"/>
          <w:highlight w:val="none"/>
        </w:rPr>
      </w:pPr>
      <w:r>
        <w:rPr>
          <w:rFonts w:hint="eastAsia"/>
          <w:color w:val="auto"/>
          <w:highlight w:val="none"/>
        </w:rPr>
        <w:t>1）工程准备期：准备工程开工起至主体工程开工前的工期，包括场地平整、场内交通、导流工程、临时建房等。工程准备期拟计划1个月。</w:t>
      </w:r>
    </w:p>
    <w:p>
      <w:pPr>
        <w:pStyle w:val="415"/>
        <w:rPr>
          <w:color w:val="auto"/>
          <w:highlight w:val="none"/>
        </w:rPr>
      </w:pPr>
      <w:r>
        <w:rPr>
          <w:rFonts w:hint="eastAsia"/>
          <w:color w:val="auto"/>
          <w:highlight w:val="none"/>
        </w:rPr>
        <w:t>2）主体工程施工期：主体工程主要为渠道衬砌、</w:t>
      </w:r>
      <w:r>
        <w:rPr>
          <w:rFonts w:hint="eastAsia"/>
          <w:color w:val="auto"/>
          <w:highlight w:val="none"/>
          <w:lang w:eastAsia="zh-CN"/>
        </w:rPr>
        <w:t>渠水闸</w:t>
      </w:r>
      <w:r>
        <w:rPr>
          <w:rFonts w:hint="eastAsia"/>
          <w:color w:val="auto"/>
          <w:highlight w:val="none"/>
        </w:rPr>
        <w:t>、</w:t>
      </w:r>
      <w:r>
        <w:rPr>
          <w:rFonts w:hint="eastAsia"/>
          <w:color w:val="auto"/>
          <w:highlight w:val="none"/>
          <w:lang w:eastAsia="zh-CN"/>
        </w:rPr>
        <w:t>渡槽</w:t>
      </w:r>
      <w:r>
        <w:rPr>
          <w:rFonts w:hint="eastAsia"/>
          <w:color w:val="auto"/>
          <w:highlight w:val="none"/>
        </w:rPr>
        <w:t>等，根据各主体工程量，实施工期拟计划为</w:t>
      </w:r>
      <w:r>
        <w:rPr>
          <w:rFonts w:hint="eastAsia"/>
          <w:color w:val="auto"/>
          <w:highlight w:val="none"/>
          <w:lang w:val="en-US" w:eastAsia="zh-CN"/>
        </w:rPr>
        <w:t>6</w:t>
      </w:r>
      <w:r>
        <w:rPr>
          <w:rFonts w:hint="eastAsia"/>
          <w:color w:val="auto"/>
          <w:highlight w:val="none"/>
        </w:rPr>
        <w:t>个月。</w:t>
      </w:r>
    </w:p>
    <w:p>
      <w:pPr>
        <w:pStyle w:val="415"/>
        <w:rPr>
          <w:color w:val="auto"/>
          <w:highlight w:val="none"/>
        </w:rPr>
      </w:pPr>
      <w:r>
        <w:rPr>
          <w:rFonts w:hint="eastAsia"/>
          <w:color w:val="auto"/>
          <w:highlight w:val="none"/>
        </w:rPr>
        <w:t>3）工程完建期：自工程完工运行起至工程竣工止的日期。工程完建期拟计划1个月。</w:t>
      </w:r>
    </w:p>
    <w:p>
      <w:pPr>
        <w:pStyle w:val="415"/>
        <w:rPr>
          <w:color w:val="auto"/>
          <w:highlight w:val="none"/>
        </w:rPr>
      </w:pPr>
      <w:r>
        <w:rPr>
          <w:rFonts w:hint="eastAsia"/>
          <w:color w:val="auto"/>
          <w:highlight w:val="none"/>
        </w:rPr>
        <w:t>工程施工总工期为1-3项工期之和，总工期</w:t>
      </w:r>
      <w:r>
        <w:rPr>
          <w:rFonts w:hint="eastAsia"/>
          <w:color w:val="auto"/>
          <w:highlight w:val="none"/>
          <w:lang w:val="en-US" w:eastAsia="zh-CN"/>
        </w:rPr>
        <w:t>8</w:t>
      </w:r>
      <w:r>
        <w:rPr>
          <w:rFonts w:hint="eastAsia"/>
          <w:color w:val="auto"/>
          <w:highlight w:val="none"/>
        </w:rPr>
        <w:t>个月。</w:t>
      </w:r>
    </w:p>
    <w:bookmarkEnd w:id="348"/>
    <w:p>
      <w:pPr>
        <w:pStyle w:val="3"/>
        <w:rPr>
          <w:color w:val="auto"/>
          <w:highlight w:val="none"/>
        </w:rPr>
      </w:pPr>
      <w:bookmarkStart w:id="349" w:name="_Toc27042035"/>
      <w:bookmarkStart w:id="350" w:name="_Toc316300962"/>
      <w:bookmarkStart w:id="351" w:name="_Toc31236"/>
      <w:bookmarkStart w:id="352" w:name="_Toc492582768"/>
      <w:r>
        <w:rPr>
          <w:rFonts w:hint="eastAsia"/>
          <w:color w:val="auto"/>
          <w:highlight w:val="none"/>
          <w:lang w:val="en-US" w:eastAsia="zh-CN"/>
        </w:rPr>
        <w:t>7</w:t>
      </w:r>
      <w:r>
        <w:rPr>
          <w:rFonts w:hint="eastAsia"/>
          <w:color w:val="auto"/>
          <w:highlight w:val="none"/>
        </w:rPr>
        <w:t xml:space="preserve">.6 </w:t>
      </w:r>
      <w:r>
        <w:rPr>
          <w:color w:val="auto"/>
          <w:highlight w:val="none"/>
        </w:rPr>
        <w:t>施工</w:t>
      </w:r>
      <w:r>
        <w:rPr>
          <w:rFonts w:hint="eastAsia"/>
          <w:color w:val="auto"/>
          <w:highlight w:val="none"/>
        </w:rPr>
        <w:t>招标</w:t>
      </w:r>
      <w:bookmarkEnd w:id="349"/>
      <w:bookmarkEnd w:id="350"/>
      <w:bookmarkEnd w:id="351"/>
      <w:bookmarkEnd w:id="352"/>
    </w:p>
    <w:p>
      <w:pPr>
        <w:pStyle w:val="415"/>
        <w:rPr>
          <w:color w:val="auto"/>
          <w:highlight w:val="none"/>
        </w:rPr>
      </w:pPr>
      <w:r>
        <w:rPr>
          <w:rFonts w:hint="eastAsia"/>
          <w:color w:val="auto"/>
          <w:highlight w:val="none"/>
        </w:rPr>
        <w:t>根据中华人民共和国国家发展和改革委员会令（2018年第16号），勘察、设计、施工、监理以及与工程建设有关的重要设备、材料等的采购达到下列标准之一的，必须招标：</w:t>
      </w:r>
    </w:p>
    <w:p>
      <w:pPr>
        <w:pStyle w:val="415"/>
        <w:rPr>
          <w:color w:val="auto"/>
          <w:highlight w:val="none"/>
        </w:rPr>
      </w:pPr>
      <w:r>
        <w:rPr>
          <w:rFonts w:hint="eastAsia"/>
          <w:color w:val="auto"/>
          <w:highlight w:val="none"/>
        </w:rPr>
        <w:t>（一）施工单项合同估算价在 400 万元人民币以上；</w:t>
      </w:r>
    </w:p>
    <w:p>
      <w:pPr>
        <w:pStyle w:val="415"/>
        <w:rPr>
          <w:color w:val="auto"/>
          <w:highlight w:val="none"/>
        </w:rPr>
      </w:pPr>
      <w:r>
        <w:rPr>
          <w:rFonts w:hint="eastAsia"/>
          <w:color w:val="auto"/>
          <w:highlight w:val="none"/>
        </w:rPr>
        <w:t>（二）重要设备、材料等货物的采购，单项合同估算价在 200万元人民币以上；</w:t>
      </w:r>
    </w:p>
    <w:p>
      <w:pPr>
        <w:pStyle w:val="415"/>
        <w:rPr>
          <w:color w:val="auto"/>
          <w:highlight w:val="none"/>
        </w:rPr>
      </w:pPr>
      <w:r>
        <w:rPr>
          <w:rFonts w:hint="eastAsia"/>
          <w:color w:val="auto"/>
          <w:highlight w:val="none"/>
        </w:rPr>
        <w:t>（三）勘察、设计、监理等服务的采购，单项合同估算价在 100万元人民币以上。</w:t>
      </w:r>
    </w:p>
    <w:p>
      <w:pPr>
        <w:pStyle w:val="415"/>
        <w:rPr>
          <w:color w:val="auto"/>
          <w:highlight w:val="none"/>
        </w:rPr>
      </w:pPr>
      <w:r>
        <w:rPr>
          <w:rFonts w:hint="eastAsia"/>
          <w:color w:val="auto"/>
          <w:highlight w:val="none"/>
        </w:rPr>
        <w:t>根据《广东省发展改革委关于贯彻落实&lt;必须招标的工程项目规定&gt;有关事宜的通知》（粤发改稽察【2018】266号）规定，自2018年6月1日起，如项目属于《必须招标的工程项目规定》（下称《规定》）和《广东省实施&lt;中华人民共和国招标投标法&gt;办法》（下称《办法》）同时规定的依法必须进行招标项目的范围，其必须进行招标的规模标准，按照《规定》执行；如项目属于《办法》单独规定的依法必须进行招标项目的范围，其必须进行招标的规模标准，按照《办法》执行。</w:t>
      </w:r>
    </w:p>
    <w:p>
      <w:pPr>
        <w:pStyle w:val="415"/>
        <w:rPr>
          <w:color w:val="auto"/>
          <w:highlight w:val="none"/>
        </w:rPr>
      </w:pPr>
      <w:r>
        <w:rPr>
          <w:rFonts w:hint="eastAsia"/>
          <w:color w:val="auto"/>
          <w:highlight w:val="none"/>
        </w:rPr>
        <w:t>因此，依据《规定》：施工单项合同估算价在400万元人民币以上；重要设备、材料等货物的采购，单项合同估算价在200万元人民币以上；同时依据《办法》：勘察、设计、监理单项合同低于50万元人民币，但项目总投资3000万元人民币以上；应按规定进行招标。</w:t>
      </w:r>
    </w:p>
    <w:p>
      <w:pPr>
        <w:pStyle w:val="416"/>
        <w:ind w:firstLine="480" w:firstLineChars="200"/>
        <w:jc w:val="left"/>
        <w:rPr>
          <w:color w:val="auto"/>
          <w:highlight w:val="none"/>
        </w:rPr>
      </w:pPr>
      <w:r>
        <w:rPr>
          <w:rFonts w:hint="eastAsia" w:ascii="Times New Roman" w:hAnsi="Times New Roman" w:eastAsia="宋体"/>
          <w:snapToGrid w:val="0"/>
          <w:color w:val="auto"/>
          <w:szCs w:val="18"/>
          <w:highlight w:val="none"/>
          <w:lang w:val="zh-CN"/>
        </w:rPr>
        <w:t>综上，本工程勘察、设计、监理不需进行招标，建筑安装工程需进行招标，投标基本情况表如下。</w:t>
      </w:r>
    </w:p>
    <w:p>
      <w:pPr>
        <w:pStyle w:val="416"/>
        <w:ind w:firstLine="480" w:firstLineChars="200"/>
        <w:rPr>
          <w:color w:val="auto"/>
          <w:highlight w:val="none"/>
        </w:rPr>
      </w:pPr>
      <w:r>
        <w:rPr>
          <w:color w:val="auto"/>
          <w:highlight w:val="none"/>
        </w:rPr>
        <w:t>表</w:t>
      </w:r>
      <w:r>
        <w:rPr>
          <w:rFonts w:hint="eastAsia"/>
          <w:color w:val="auto"/>
          <w:highlight w:val="none"/>
          <w:lang w:val="en-US" w:eastAsia="zh-CN"/>
        </w:rPr>
        <w:t xml:space="preserve">7-4 </w:t>
      </w:r>
      <w:r>
        <w:rPr>
          <w:rFonts w:hint="eastAsia"/>
          <w:color w:val="auto"/>
          <w:highlight w:val="none"/>
        </w:rPr>
        <w:t xml:space="preserve"> 招标基本情况表</w:t>
      </w:r>
    </w:p>
    <w:tbl>
      <w:tblPr>
        <w:tblStyle w:val="47"/>
        <w:tblW w:w="89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93"/>
        <w:gridCol w:w="879"/>
        <w:gridCol w:w="790"/>
        <w:gridCol w:w="820"/>
        <w:gridCol w:w="877"/>
        <w:gridCol w:w="824"/>
        <w:gridCol w:w="786"/>
        <w:gridCol w:w="1118"/>
        <w:gridCol w:w="9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3" w:type="dxa"/>
            <w:vMerge w:val="restart"/>
            <w:vAlign w:val="center"/>
          </w:tcPr>
          <w:p>
            <w:pPr>
              <w:pStyle w:val="185"/>
              <w:rPr>
                <w:color w:val="auto"/>
                <w:highlight w:val="none"/>
              </w:rPr>
            </w:pPr>
            <w:r>
              <w:rPr>
                <w:rFonts w:hint="eastAsia"/>
                <w:color w:val="auto"/>
                <w:highlight w:val="none"/>
              </w:rPr>
              <w:t>项目</w:t>
            </w:r>
          </w:p>
        </w:tc>
        <w:tc>
          <w:tcPr>
            <w:tcW w:w="1669" w:type="dxa"/>
            <w:gridSpan w:val="2"/>
            <w:vAlign w:val="center"/>
          </w:tcPr>
          <w:p>
            <w:pPr>
              <w:pStyle w:val="185"/>
              <w:rPr>
                <w:color w:val="auto"/>
                <w:highlight w:val="none"/>
              </w:rPr>
            </w:pPr>
            <w:r>
              <w:rPr>
                <w:rFonts w:hint="eastAsia"/>
                <w:color w:val="auto"/>
                <w:highlight w:val="none"/>
              </w:rPr>
              <w:t>招标范围</w:t>
            </w:r>
          </w:p>
        </w:tc>
        <w:tc>
          <w:tcPr>
            <w:tcW w:w="1697" w:type="dxa"/>
            <w:gridSpan w:val="2"/>
            <w:vAlign w:val="center"/>
          </w:tcPr>
          <w:p>
            <w:pPr>
              <w:pStyle w:val="185"/>
              <w:rPr>
                <w:color w:val="auto"/>
                <w:highlight w:val="none"/>
              </w:rPr>
            </w:pPr>
            <w:r>
              <w:rPr>
                <w:rFonts w:hint="eastAsia"/>
                <w:color w:val="auto"/>
                <w:highlight w:val="none"/>
              </w:rPr>
              <w:t>招标组织形式</w:t>
            </w:r>
          </w:p>
        </w:tc>
        <w:tc>
          <w:tcPr>
            <w:tcW w:w="1610" w:type="dxa"/>
            <w:gridSpan w:val="2"/>
            <w:vAlign w:val="center"/>
          </w:tcPr>
          <w:p>
            <w:pPr>
              <w:pStyle w:val="185"/>
              <w:rPr>
                <w:color w:val="auto"/>
                <w:highlight w:val="none"/>
              </w:rPr>
            </w:pPr>
            <w:r>
              <w:rPr>
                <w:rFonts w:hint="eastAsia"/>
                <w:color w:val="auto"/>
                <w:highlight w:val="none"/>
              </w:rPr>
              <w:t>招标方式</w:t>
            </w:r>
          </w:p>
        </w:tc>
        <w:tc>
          <w:tcPr>
            <w:tcW w:w="1118" w:type="dxa"/>
            <w:vMerge w:val="restart"/>
            <w:vAlign w:val="center"/>
          </w:tcPr>
          <w:p>
            <w:pPr>
              <w:pStyle w:val="185"/>
              <w:rPr>
                <w:color w:val="auto"/>
                <w:highlight w:val="none"/>
              </w:rPr>
            </w:pPr>
            <w:r>
              <w:rPr>
                <w:rFonts w:hint="eastAsia"/>
                <w:color w:val="auto"/>
                <w:highlight w:val="none"/>
              </w:rPr>
              <w:t>不采用招标方式</w:t>
            </w:r>
          </w:p>
        </w:tc>
        <w:tc>
          <w:tcPr>
            <w:tcW w:w="985" w:type="dxa"/>
            <w:vMerge w:val="restart"/>
            <w:vAlign w:val="center"/>
          </w:tcPr>
          <w:p>
            <w:pPr>
              <w:pStyle w:val="185"/>
              <w:rPr>
                <w:color w:val="auto"/>
                <w:highlight w:val="none"/>
              </w:rPr>
            </w:pPr>
            <w:r>
              <w:rPr>
                <w:rFonts w:hint="eastAsia"/>
                <w:color w:val="auto"/>
                <w:highlight w:val="none"/>
              </w:rPr>
              <w:t>招标估算金额（万元）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3" w:type="dxa"/>
            <w:vMerge w:val="continue"/>
            <w:vAlign w:val="center"/>
          </w:tcPr>
          <w:p>
            <w:pPr>
              <w:pStyle w:val="185"/>
              <w:rPr>
                <w:color w:val="auto"/>
                <w:highlight w:val="none"/>
              </w:rPr>
            </w:pPr>
          </w:p>
        </w:tc>
        <w:tc>
          <w:tcPr>
            <w:tcW w:w="879" w:type="dxa"/>
            <w:vAlign w:val="center"/>
          </w:tcPr>
          <w:p>
            <w:pPr>
              <w:pStyle w:val="185"/>
              <w:rPr>
                <w:color w:val="auto"/>
                <w:highlight w:val="none"/>
              </w:rPr>
            </w:pPr>
            <w:r>
              <w:rPr>
                <w:rFonts w:hint="eastAsia"/>
                <w:color w:val="auto"/>
                <w:highlight w:val="none"/>
              </w:rPr>
              <w:t>全部</w:t>
            </w:r>
          </w:p>
          <w:p>
            <w:pPr>
              <w:pStyle w:val="185"/>
              <w:rPr>
                <w:color w:val="auto"/>
                <w:highlight w:val="none"/>
              </w:rPr>
            </w:pPr>
            <w:r>
              <w:rPr>
                <w:rFonts w:hint="eastAsia"/>
                <w:color w:val="auto"/>
                <w:highlight w:val="none"/>
              </w:rPr>
              <w:t>招标</w:t>
            </w:r>
          </w:p>
        </w:tc>
        <w:tc>
          <w:tcPr>
            <w:tcW w:w="790" w:type="dxa"/>
            <w:vAlign w:val="center"/>
          </w:tcPr>
          <w:p>
            <w:pPr>
              <w:pStyle w:val="185"/>
              <w:rPr>
                <w:color w:val="auto"/>
                <w:highlight w:val="none"/>
              </w:rPr>
            </w:pPr>
            <w:r>
              <w:rPr>
                <w:rFonts w:hint="eastAsia"/>
                <w:color w:val="auto"/>
                <w:highlight w:val="none"/>
              </w:rPr>
              <w:t>部分招标</w:t>
            </w:r>
          </w:p>
        </w:tc>
        <w:tc>
          <w:tcPr>
            <w:tcW w:w="820" w:type="dxa"/>
            <w:vAlign w:val="center"/>
          </w:tcPr>
          <w:p>
            <w:pPr>
              <w:pStyle w:val="185"/>
              <w:rPr>
                <w:color w:val="auto"/>
                <w:highlight w:val="none"/>
              </w:rPr>
            </w:pPr>
            <w:r>
              <w:rPr>
                <w:rFonts w:hint="eastAsia"/>
                <w:color w:val="auto"/>
                <w:highlight w:val="none"/>
              </w:rPr>
              <w:t>自行招标</w:t>
            </w:r>
          </w:p>
        </w:tc>
        <w:tc>
          <w:tcPr>
            <w:tcW w:w="877" w:type="dxa"/>
            <w:vAlign w:val="center"/>
          </w:tcPr>
          <w:p>
            <w:pPr>
              <w:pStyle w:val="185"/>
              <w:rPr>
                <w:color w:val="auto"/>
                <w:highlight w:val="none"/>
              </w:rPr>
            </w:pPr>
            <w:r>
              <w:rPr>
                <w:rFonts w:hint="eastAsia"/>
                <w:color w:val="auto"/>
                <w:highlight w:val="none"/>
              </w:rPr>
              <w:t>委托</w:t>
            </w:r>
          </w:p>
          <w:p>
            <w:pPr>
              <w:pStyle w:val="185"/>
              <w:rPr>
                <w:color w:val="auto"/>
                <w:highlight w:val="none"/>
              </w:rPr>
            </w:pPr>
            <w:r>
              <w:rPr>
                <w:rFonts w:hint="eastAsia"/>
                <w:color w:val="auto"/>
                <w:highlight w:val="none"/>
              </w:rPr>
              <w:t>招标</w:t>
            </w:r>
          </w:p>
        </w:tc>
        <w:tc>
          <w:tcPr>
            <w:tcW w:w="824" w:type="dxa"/>
            <w:vAlign w:val="center"/>
          </w:tcPr>
          <w:p>
            <w:pPr>
              <w:pStyle w:val="185"/>
              <w:rPr>
                <w:color w:val="auto"/>
                <w:highlight w:val="none"/>
              </w:rPr>
            </w:pPr>
            <w:r>
              <w:rPr>
                <w:rFonts w:hint="eastAsia"/>
                <w:color w:val="auto"/>
                <w:highlight w:val="none"/>
              </w:rPr>
              <w:t>公开招标</w:t>
            </w:r>
          </w:p>
        </w:tc>
        <w:tc>
          <w:tcPr>
            <w:tcW w:w="786" w:type="dxa"/>
            <w:vAlign w:val="center"/>
          </w:tcPr>
          <w:p>
            <w:pPr>
              <w:pStyle w:val="185"/>
              <w:rPr>
                <w:color w:val="auto"/>
                <w:highlight w:val="none"/>
              </w:rPr>
            </w:pPr>
            <w:r>
              <w:rPr>
                <w:rFonts w:hint="eastAsia"/>
                <w:color w:val="auto"/>
                <w:highlight w:val="none"/>
              </w:rPr>
              <w:t>邀请招标</w:t>
            </w:r>
          </w:p>
        </w:tc>
        <w:tc>
          <w:tcPr>
            <w:tcW w:w="1118" w:type="dxa"/>
            <w:vMerge w:val="continue"/>
            <w:vAlign w:val="center"/>
          </w:tcPr>
          <w:p>
            <w:pPr>
              <w:pStyle w:val="185"/>
              <w:rPr>
                <w:color w:val="auto"/>
                <w:highlight w:val="none"/>
              </w:rPr>
            </w:pPr>
          </w:p>
        </w:tc>
        <w:tc>
          <w:tcPr>
            <w:tcW w:w="985" w:type="dxa"/>
            <w:vMerge w:val="continue"/>
            <w:vAlign w:val="center"/>
          </w:tcPr>
          <w:p>
            <w:pPr>
              <w:pStyle w:val="185"/>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3" w:type="dxa"/>
            <w:vAlign w:val="center"/>
          </w:tcPr>
          <w:p>
            <w:pPr>
              <w:pStyle w:val="185"/>
              <w:rPr>
                <w:color w:val="auto"/>
                <w:highlight w:val="none"/>
              </w:rPr>
            </w:pPr>
            <w:r>
              <w:rPr>
                <w:rFonts w:hint="eastAsia"/>
                <w:color w:val="auto"/>
                <w:highlight w:val="none"/>
              </w:rPr>
              <w:t>勘察</w:t>
            </w:r>
          </w:p>
        </w:tc>
        <w:tc>
          <w:tcPr>
            <w:tcW w:w="879" w:type="dxa"/>
            <w:vAlign w:val="center"/>
          </w:tcPr>
          <w:p>
            <w:pPr>
              <w:pStyle w:val="185"/>
              <w:rPr>
                <w:color w:val="auto"/>
                <w:highlight w:val="none"/>
              </w:rPr>
            </w:pPr>
          </w:p>
        </w:tc>
        <w:tc>
          <w:tcPr>
            <w:tcW w:w="790" w:type="dxa"/>
            <w:vAlign w:val="center"/>
          </w:tcPr>
          <w:p>
            <w:pPr>
              <w:pStyle w:val="185"/>
              <w:rPr>
                <w:color w:val="auto"/>
                <w:highlight w:val="none"/>
              </w:rPr>
            </w:pPr>
          </w:p>
        </w:tc>
        <w:tc>
          <w:tcPr>
            <w:tcW w:w="820" w:type="dxa"/>
            <w:vAlign w:val="center"/>
          </w:tcPr>
          <w:p>
            <w:pPr>
              <w:pStyle w:val="185"/>
              <w:rPr>
                <w:color w:val="auto"/>
                <w:highlight w:val="none"/>
              </w:rPr>
            </w:pPr>
          </w:p>
        </w:tc>
        <w:tc>
          <w:tcPr>
            <w:tcW w:w="877" w:type="dxa"/>
            <w:vAlign w:val="center"/>
          </w:tcPr>
          <w:p>
            <w:pPr>
              <w:pStyle w:val="185"/>
              <w:rPr>
                <w:color w:val="auto"/>
                <w:highlight w:val="none"/>
              </w:rPr>
            </w:pPr>
          </w:p>
        </w:tc>
        <w:tc>
          <w:tcPr>
            <w:tcW w:w="824" w:type="dxa"/>
            <w:vAlign w:val="center"/>
          </w:tcPr>
          <w:p>
            <w:pPr>
              <w:pStyle w:val="185"/>
              <w:rPr>
                <w:color w:val="auto"/>
                <w:highlight w:val="none"/>
              </w:rPr>
            </w:pPr>
          </w:p>
        </w:tc>
        <w:tc>
          <w:tcPr>
            <w:tcW w:w="786" w:type="dxa"/>
            <w:vAlign w:val="center"/>
          </w:tcPr>
          <w:p>
            <w:pPr>
              <w:pStyle w:val="185"/>
              <w:rPr>
                <w:color w:val="auto"/>
                <w:highlight w:val="none"/>
              </w:rPr>
            </w:pPr>
          </w:p>
        </w:tc>
        <w:tc>
          <w:tcPr>
            <w:tcW w:w="1118" w:type="dxa"/>
            <w:vAlign w:val="center"/>
          </w:tcPr>
          <w:p>
            <w:pPr>
              <w:pStyle w:val="185"/>
              <w:rPr>
                <w:color w:val="auto"/>
                <w:highlight w:val="none"/>
              </w:rPr>
            </w:pPr>
            <w:r>
              <w:rPr>
                <w:rFonts w:hint="eastAsia"/>
                <w:color w:val="auto"/>
                <w:highlight w:val="none"/>
              </w:rPr>
              <w:t>√</w:t>
            </w:r>
          </w:p>
        </w:tc>
        <w:tc>
          <w:tcPr>
            <w:tcW w:w="985" w:type="dxa"/>
            <w:vAlign w:val="center"/>
          </w:tcPr>
          <w:p>
            <w:pPr>
              <w:pStyle w:val="185"/>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3" w:type="dxa"/>
            <w:vAlign w:val="center"/>
          </w:tcPr>
          <w:p>
            <w:pPr>
              <w:pStyle w:val="185"/>
              <w:rPr>
                <w:color w:val="auto"/>
                <w:highlight w:val="none"/>
              </w:rPr>
            </w:pPr>
            <w:r>
              <w:rPr>
                <w:rFonts w:hint="eastAsia"/>
                <w:color w:val="auto"/>
                <w:highlight w:val="none"/>
              </w:rPr>
              <w:t>设计</w:t>
            </w:r>
          </w:p>
        </w:tc>
        <w:tc>
          <w:tcPr>
            <w:tcW w:w="879" w:type="dxa"/>
            <w:vAlign w:val="center"/>
          </w:tcPr>
          <w:p>
            <w:pPr>
              <w:pStyle w:val="185"/>
              <w:rPr>
                <w:color w:val="auto"/>
                <w:highlight w:val="none"/>
              </w:rPr>
            </w:pPr>
          </w:p>
        </w:tc>
        <w:tc>
          <w:tcPr>
            <w:tcW w:w="790" w:type="dxa"/>
            <w:vAlign w:val="center"/>
          </w:tcPr>
          <w:p>
            <w:pPr>
              <w:pStyle w:val="185"/>
              <w:rPr>
                <w:color w:val="auto"/>
                <w:highlight w:val="none"/>
              </w:rPr>
            </w:pPr>
          </w:p>
        </w:tc>
        <w:tc>
          <w:tcPr>
            <w:tcW w:w="820" w:type="dxa"/>
            <w:vAlign w:val="center"/>
          </w:tcPr>
          <w:p>
            <w:pPr>
              <w:pStyle w:val="185"/>
              <w:rPr>
                <w:color w:val="auto"/>
                <w:highlight w:val="none"/>
              </w:rPr>
            </w:pPr>
          </w:p>
        </w:tc>
        <w:tc>
          <w:tcPr>
            <w:tcW w:w="877" w:type="dxa"/>
            <w:vAlign w:val="center"/>
          </w:tcPr>
          <w:p>
            <w:pPr>
              <w:pStyle w:val="185"/>
              <w:rPr>
                <w:color w:val="auto"/>
                <w:highlight w:val="none"/>
              </w:rPr>
            </w:pPr>
          </w:p>
        </w:tc>
        <w:tc>
          <w:tcPr>
            <w:tcW w:w="824" w:type="dxa"/>
            <w:vAlign w:val="center"/>
          </w:tcPr>
          <w:p>
            <w:pPr>
              <w:pStyle w:val="185"/>
              <w:rPr>
                <w:color w:val="auto"/>
                <w:highlight w:val="none"/>
              </w:rPr>
            </w:pPr>
          </w:p>
        </w:tc>
        <w:tc>
          <w:tcPr>
            <w:tcW w:w="786" w:type="dxa"/>
            <w:vAlign w:val="center"/>
          </w:tcPr>
          <w:p>
            <w:pPr>
              <w:pStyle w:val="185"/>
              <w:rPr>
                <w:color w:val="auto"/>
                <w:highlight w:val="none"/>
              </w:rPr>
            </w:pPr>
          </w:p>
        </w:tc>
        <w:tc>
          <w:tcPr>
            <w:tcW w:w="1118" w:type="dxa"/>
            <w:vAlign w:val="center"/>
          </w:tcPr>
          <w:p>
            <w:pPr>
              <w:pStyle w:val="185"/>
              <w:rPr>
                <w:color w:val="auto"/>
                <w:highlight w:val="none"/>
              </w:rPr>
            </w:pPr>
            <w:r>
              <w:rPr>
                <w:rFonts w:hint="eastAsia"/>
                <w:color w:val="auto"/>
                <w:highlight w:val="none"/>
              </w:rPr>
              <w:t>√</w:t>
            </w:r>
          </w:p>
        </w:tc>
        <w:tc>
          <w:tcPr>
            <w:tcW w:w="985" w:type="dxa"/>
            <w:vAlign w:val="center"/>
          </w:tcPr>
          <w:p>
            <w:pPr>
              <w:pStyle w:val="185"/>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3" w:type="dxa"/>
            <w:vAlign w:val="center"/>
          </w:tcPr>
          <w:p>
            <w:pPr>
              <w:pStyle w:val="185"/>
              <w:rPr>
                <w:color w:val="auto"/>
                <w:highlight w:val="none"/>
              </w:rPr>
            </w:pPr>
            <w:r>
              <w:rPr>
                <w:rFonts w:hint="eastAsia"/>
                <w:color w:val="auto"/>
                <w:highlight w:val="none"/>
              </w:rPr>
              <w:t>建筑工程</w:t>
            </w:r>
          </w:p>
        </w:tc>
        <w:tc>
          <w:tcPr>
            <w:tcW w:w="879" w:type="dxa"/>
            <w:vMerge w:val="restart"/>
            <w:vAlign w:val="center"/>
          </w:tcPr>
          <w:p>
            <w:pPr>
              <w:pStyle w:val="185"/>
              <w:rPr>
                <w:color w:val="auto"/>
                <w:highlight w:val="none"/>
              </w:rPr>
            </w:pPr>
            <w:r>
              <w:rPr>
                <w:rFonts w:hint="eastAsia"/>
                <w:color w:val="auto"/>
                <w:highlight w:val="none"/>
              </w:rPr>
              <w:t>√</w:t>
            </w:r>
          </w:p>
        </w:tc>
        <w:tc>
          <w:tcPr>
            <w:tcW w:w="790" w:type="dxa"/>
            <w:vMerge w:val="restart"/>
            <w:vAlign w:val="center"/>
          </w:tcPr>
          <w:p>
            <w:pPr>
              <w:pStyle w:val="185"/>
              <w:rPr>
                <w:color w:val="auto"/>
                <w:highlight w:val="none"/>
              </w:rPr>
            </w:pPr>
          </w:p>
        </w:tc>
        <w:tc>
          <w:tcPr>
            <w:tcW w:w="820" w:type="dxa"/>
            <w:vMerge w:val="restart"/>
            <w:vAlign w:val="center"/>
          </w:tcPr>
          <w:p>
            <w:pPr>
              <w:pStyle w:val="185"/>
              <w:rPr>
                <w:color w:val="auto"/>
                <w:highlight w:val="none"/>
              </w:rPr>
            </w:pPr>
          </w:p>
        </w:tc>
        <w:tc>
          <w:tcPr>
            <w:tcW w:w="877" w:type="dxa"/>
            <w:vMerge w:val="restart"/>
            <w:vAlign w:val="center"/>
          </w:tcPr>
          <w:p>
            <w:pPr>
              <w:pStyle w:val="185"/>
              <w:rPr>
                <w:color w:val="auto"/>
                <w:highlight w:val="none"/>
              </w:rPr>
            </w:pPr>
          </w:p>
        </w:tc>
        <w:tc>
          <w:tcPr>
            <w:tcW w:w="824" w:type="dxa"/>
            <w:vMerge w:val="restart"/>
            <w:vAlign w:val="center"/>
          </w:tcPr>
          <w:p>
            <w:pPr>
              <w:pStyle w:val="185"/>
              <w:rPr>
                <w:color w:val="auto"/>
                <w:highlight w:val="none"/>
              </w:rPr>
            </w:pPr>
            <w:r>
              <w:rPr>
                <w:rFonts w:hint="eastAsia"/>
                <w:color w:val="auto"/>
                <w:highlight w:val="none"/>
              </w:rPr>
              <w:t>√</w:t>
            </w:r>
          </w:p>
        </w:tc>
        <w:tc>
          <w:tcPr>
            <w:tcW w:w="786" w:type="dxa"/>
            <w:vMerge w:val="restart"/>
            <w:vAlign w:val="center"/>
          </w:tcPr>
          <w:p>
            <w:pPr>
              <w:pStyle w:val="185"/>
              <w:rPr>
                <w:color w:val="auto"/>
                <w:highlight w:val="none"/>
              </w:rPr>
            </w:pPr>
          </w:p>
        </w:tc>
        <w:tc>
          <w:tcPr>
            <w:tcW w:w="1118" w:type="dxa"/>
            <w:vMerge w:val="restart"/>
            <w:vAlign w:val="center"/>
          </w:tcPr>
          <w:p>
            <w:pPr>
              <w:pStyle w:val="185"/>
              <w:rPr>
                <w:color w:val="auto"/>
                <w:highlight w:val="none"/>
              </w:rPr>
            </w:pPr>
          </w:p>
        </w:tc>
        <w:tc>
          <w:tcPr>
            <w:tcW w:w="985" w:type="dxa"/>
            <w:vMerge w:val="restart"/>
            <w:vAlign w:val="center"/>
          </w:tcPr>
          <w:p>
            <w:pPr>
              <w:pStyle w:val="185"/>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3" w:type="dxa"/>
            <w:vAlign w:val="center"/>
          </w:tcPr>
          <w:p>
            <w:pPr>
              <w:pStyle w:val="185"/>
              <w:rPr>
                <w:color w:val="auto"/>
                <w:highlight w:val="none"/>
              </w:rPr>
            </w:pPr>
            <w:r>
              <w:rPr>
                <w:rFonts w:hint="eastAsia"/>
                <w:color w:val="auto"/>
                <w:highlight w:val="none"/>
              </w:rPr>
              <w:t>安装工程</w:t>
            </w:r>
          </w:p>
        </w:tc>
        <w:tc>
          <w:tcPr>
            <w:tcW w:w="879" w:type="dxa"/>
            <w:vMerge w:val="continue"/>
            <w:vAlign w:val="center"/>
          </w:tcPr>
          <w:p>
            <w:pPr>
              <w:pStyle w:val="185"/>
              <w:rPr>
                <w:color w:val="auto"/>
                <w:highlight w:val="none"/>
              </w:rPr>
            </w:pPr>
          </w:p>
        </w:tc>
        <w:tc>
          <w:tcPr>
            <w:tcW w:w="790" w:type="dxa"/>
            <w:vMerge w:val="continue"/>
            <w:vAlign w:val="center"/>
          </w:tcPr>
          <w:p>
            <w:pPr>
              <w:pStyle w:val="185"/>
              <w:rPr>
                <w:color w:val="auto"/>
                <w:highlight w:val="none"/>
              </w:rPr>
            </w:pPr>
          </w:p>
        </w:tc>
        <w:tc>
          <w:tcPr>
            <w:tcW w:w="820" w:type="dxa"/>
            <w:vMerge w:val="continue"/>
            <w:vAlign w:val="center"/>
          </w:tcPr>
          <w:p>
            <w:pPr>
              <w:pStyle w:val="185"/>
              <w:rPr>
                <w:color w:val="auto"/>
                <w:highlight w:val="none"/>
              </w:rPr>
            </w:pPr>
          </w:p>
        </w:tc>
        <w:tc>
          <w:tcPr>
            <w:tcW w:w="877" w:type="dxa"/>
            <w:vMerge w:val="continue"/>
            <w:vAlign w:val="center"/>
          </w:tcPr>
          <w:p>
            <w:pPr>
              <w:pStyle w:val="185"/>
              <w:rPr>
                <w:color w:val="auto"/>
                <w:highlight w:val="none"/>
              </w:rPr>
            </w:pPr>
          </w:p>
        </w:tc>
        <w:tc>
          <w:tcPr>
            <w:tcW w:w="824" w:type="dxa"/>
            <w:vMerge w:val="continue"/>
            <w:vAlign w:val="center"/>
          </w:tcPr>
          <w:p>
            <w:pPr>
              <w:pStyle w:val="185"/>
              <w:rPr>
                <w:color w:val="auto"/>
                <w:highlight w:val="none"/>
              </w:rPr>
            </w:pPr>
          </w:p>
        </w:tc>
        <w:tc>
          <w:tcPr>
            <w:tcW w:w="786" w:type="dxa"/>
            <w:vMerge w:val="continue"/>
            <w:vAlign w:val="center"/>
          </w:tcPr>
          <w:p>
            <w:pPr>
              <w:pStyle w:val="185"/>
              <w:rPr>
                <w:color w:val="auto"/>
                <w:highlight w:val="none"/>
              </w:rPr>
            </w:pPr>
          </w:p>
        </w:tc>
        <w:tc>
          <w:tcPr>
            <w:tcW w:w="1118" w:type="dxa"/>
            <w:vMerge w:val="continue"/>
            <w:vAlign w:val="center"/>
          </w:tcPr>
          <w:p>
            <w:pPr>
              <w:pStyle w:val="185"/>
              <w:rPr>
                <w:color w:val="auto"/>
                <w:highlight w:val="none"/>
              </w:rPr>
            </w:pPr>
          </w:p>
        </w:tc>
        <w:tc>
          <w:tcPr>
            <w:tcW w:w="985" w:type="dxa"/>
            <w:vMerge w:val="continue"/>
            <w:vAlign w:val="center"/>
          </w:tcPr>
          <w:p>
            <w:pPr>
              <w:pStyle w:val="185"/>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3" w:type="dxa"/>
            <w:vAlign w:val="center"/>
          </w:tcPr>
          <w:p>
            <w:pPr>
              <w:pStyle w:val="185"/>
              <w:rPr>
                <w:color w:val="auto"/>
                <w:highlight w:val="none"/>
              </w:rPr>
            </w:pPr>
            <w:r>
              <w:rPr>
                <w:rFonts w:hint="eastAsia"/>
                <w:color w:val="auto"/>
                <w:highlight w:val="none"/>
              </w:rPr>
              <w:t>监理</w:t>
            </w:r>
          </w:p>
        </w:tc>
        <w:tc>
          <w:tcPr>
            <w:tcW w:w="879" w:type="dxa"/>
            <w:vAlign w:val="center"/>
          </w:tcPr>
          <w:p>
            <w:pPr>
              <w:pStyle w:val="185"/>
              <w:rPr>
                <w:color w:val="auto"/>
                <w:highlight w:val="none"/>
              </w:rPr>
            </w:pPr>
          </w:p>
        </w:tc>
        <w:tc>
          <w:tcPr>
            <w:tcW w:w="790" w:type="dxa"/>
            <w:vAlign w:val="center"/>
          </w:tcPr>
          <w:p>
            <w:pPr>
              <w:pStyle w:val="185"/>
              <w:rPr>
                <w:color w:val="auto"/>
                <w:highlight w:val="none"/>
              </w:rPr>
            </w:pPr>
          </w:p>
        </w:tc>
        <w:tc>
          <w:tcPr>
            <w:tcW w:w="820" w:type="dxa"/>
            <w:vAlign w:val="center"/>
          </w:tcPr>
          <w:p>
            <w:pPr>
              <w:pStyle w:val="185"/>
              <w:rPr>
                <w:color w:val="auto"/>
                <w:highlight w:val="none"/>
              </w:rPr>
            </w:pPr>
          </w:p>
        </w:tc>
        <w:tc>
          <w:tcPr>
            <w:tcW w:w="877" w:type="dxa"/>
            <w:vAlign w:val="center"/>
          </w:tcPr>
          <w:p>
            <w:pPr>
              <w:pStyle w:val="185"/>
              <w:rPr>
                <w:color w:val="auto"/>
                <w:highlight w:val="none"/>
              </w:rPr>
            </w:pPr>
          </w:p>
        </w:tc>
        <w:tc>
          <w:tcPr>
            <w:tcW w:w="824" w:type="dxa"/>
            <w:vAlign w:val="center"/>
          </w:tcPr>
          <w:p>
            <w:pPr>
              <w:pStyle w:val="185"/>
              <w:rPr>
                <w:color w:val="auto"/>
                <w:highlight w:val="none"/>
              </w:rPr>
            </w:pPr>
          </w:p>
        </w:tc>
        <w:tc>
          <w:tcPr>
            <w:tcW w:w="786" w:type="dxa"/>
            <w:vAlign w:val="center"/>
          </w:tcPr>
          <w:p>
            <w:pPr>
              <w:pStyle w:val="185"/>
              <w:rPr>
                <w:color w:val="auto"/>
                <w:highlight w:val="none"/>
              </w:rPr>
            </w:pPr>
          </w:p>
        </w:tc>
        <w:tc>
          <w:tcPr>
            <w:tcW w:w="1118" w:type="dxa"/>
            <w:vAlign w:val="center"/>
          </w:tcPr>
          <w:p>
            <w:pPr>
              <w:pStyle w:val="185"/>
              <w:rPr>
                <w:color w:val="auto"/>
                <w:highlight w:val="none"/>
              </w:rPr>
            </w:pPr>
            <w:r>
              <w:rPr>
                <w:rFonts w:hint="eastAsia"/>
                <w:color w:val="auto"/>
                <w:highlight w:val="none"/>
              </w:rPr>
              <w:t>√</w:t>
            </w:r>
          </w:p>
        </w:tc>
        <w:tc>
          <w:tcPr>
            <w:tcW w:w="985" w:type="dxa"/>
            <w:vAlign w:val="center"/>
          </w:tcPr>
          <w:p>
            <w:pPr>
              <w:pStyle w:val="185"/>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3" w:type="dxa"/>
            <w:vAlign w:val="center"/>
          </w:tcPr>
          <w:p>
            <w:pPr>
              <w:pStyle w:val="185"/>
              <w:rPr>
                <w:color w:val="auto"/>
                <w:highlight w:val="none"/>
              </w:rPr>
            </w:pPr>
            <w:r>
              <w:rPr>
                <w:rFonts w:hint="eastAsia"/>
                <w:color w:val="auto"/>
                <w:highlight w:val="none"/>
              </w:rPr>
              <w:t>设备</w:t>
            </w:r>
          </w:p>
        </w:tc>
        <w:tc>
          <w:tcPr>
            <w:tcW w:w="879" w:type="dxa"/>
            <w:vAlign w:val="center"/>
          </w:tcPr>
          <w:p>
            <w:pPr>
              <w:pStyle w:val="185"/>
              <w:rPr>
                <w:color w:val="auto"/>
                <w:highlight w:val="none"/>
              </w:rPr>
            </w:pPr>
          </w:p>
        </w:tc>
        <w:tc>
          <w:tcPr>
            <w:tcW w:w="790" w:type="dxa"/>
            <w:vAlign w:val="center"/>
          </w:tcPr>
          <w:p>
            <w:pPr>
              <w:pStyle w:val="185"/>
              <w:rPr>
                <w:color w:val="auto"/>
                <w:highlight w:val="none"/>
              </w:rPr>
            </w:pPr>
          </w:p>
        </w:tc>
        <w:tc>
          <w:tcPr>
            <w:tcW w:w="820" w:type="dxa"/>
            <w:vAlign w:val="center"/>
          </w:tcPr>
          <w:p>
            <w:pPr>
              <w:pStyle w:val="185"/>
              <w:rPr>
                <w:color w:val="auto"/>
                <w:highlight w:val="none"/>
              </w:rPr>
            </w:pPr>
          </w:p>
        </w:tc>
        <w:tc>
          <w:tcPr>
            <w:tcW w:w="877" w:type="dxa"/>
            <w:vAlign w:val="center"/>
          </w:tcPr>
          <w:p>
            <w:pPr>
              <w:pStyle w:val="185"/>
              <w:rPr>
                <w:color w:val="auto"/>
                <w:highlight w:val="none"/>
              </w:rPr>
            </w:pPr>
          </w:p>
        </w:tc>
        <w:tc>
          <w:tcPr>
            <w:tcW w:w="824" w:type="dxa"/>
            <w:vAlign w:val="center"/>
          </w:tcPr>
          <w:p>
            <w:pPr>
              <w:pStyle w:val="185"/>
              <w:rPr>
                <w:color w:val="auto"/>
                <w:highlight w:val="none"/>
              </w:rPr>
            </w:pPr>
          </w:p>
        </w:tc>
        <w:tc>
          <w:tcPr>
            <w:tcW w:w="786" w:type="dxa"/>
            <w:vAlign w:val="center"/>
          </w:tcPr>
          <w:p>
            <w:pPr>
              <w:pStyle w:val="185"/>
              <w:rPr>
                <w:color w:val="auto"/>
                <w:highlight w:val="none"/>
              </w:rPr>
            </w:pPr>
          </w:p>
        </w:tc>
        <w:tc>
          <w:tcPr>
            <w:tcW w:w="1118" w:type="dxa"/>
            <w:vAlign w:val="center"/>
          </w:tcPr>
          <w:p>
            <w:pPr>
              <w:pStyle w:val="185"/>
              <w:rPr>
                <w:color w:val="auto"/>
                <w:highlight w:val="none"/>
              </w:rPr>
            </w:pPr>
          </w:p>
        </w:tc>
        <w:tc>
          <w:tcPr>
            <w:tcW w:w="985" w:type="dxa"/>
            <w:vAlign w:val="center"/>
          </w:tcPr>
          <w:p>
            <w:pPr>
              <w:pStyle w:val="185"/>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3" w:type="dxa"/>
            <w:vAlign w:val="center"/>
          </w:tcPr>
          <w:p>
            <w:pPr>
              <w:pStyle w:val="185"/>
              <w:rPr>
                <w:color w:val="auto"/>
                <w:highlight w:val="none"/>
              </w:rPr>
            </w:pPr>
            <w:r>
              <w:rPr>
                <w:rFonts w:hint="eastAsia"/>
                <w:color w:val="auto"/>
                <w:highlight w:val="none"/>
              </w:rPr>
              <w:t>重要材料</w:t>
            </w:r>
          </w:p>
        </w:tc>
        <w:tc>
          <w:tcPr>
            <w:tcW w:w="879" w:type="dxa"/>
            <w:vAlign w:val="center"/>
          </w:tcPr>
          <w:p>
            <w:pPr>
              <w:pStyle w:val="185"/>
              <w:rPr>
                <w:color w:val="auto"/>
                <w:highlight w:val="none"/>
              </w:rPr>
            </w:pPr>
          </w:p>
        </w:tc>
        <w:tc>
          <w:tcPr>
            <w:tcW w:w="790" w:type="dxa"/>
            <w:vAlign w:val="center"/>
          </w:tcPr>
          <w:p>
            <w:pPr>
              <w:pStyle w:val="185"/>
              <w:rPr>
                <w:color w:val="auto"/>
                <w:highlight w:val="none"/>
              </w:rPr>
            </w:pPr>
          </w:p>
        </w:tc>
        <w:tc>
          <w:tcPr>
            <w:tcW w:w="820" w:type="dxa"/>
            <w:vAlign w:val="center"/>
          </w:tcPr>
          <w:p>
            <w:pPr>
              <w:pStyle w:val="185"/>
              <w:rPr>
                <w:color w:val="auto"/>
                <w:highlight w:val="none"/>
              </w:rPr>
            </w:pPr>
          </w:p>
        </w:tc>
        <w:tc>
          <w:tcPr>
            <w:tcW w:w="877" w:type="dxa"/>
            <w:vAlign w:val="center"/>
          </w:tcPr>
          <w:p>
            <w:pPr>
              <w:pStyle w:val="185"/>
              <w:rPr>
                <w:color w:val="auto"/>
                <w:highlight w:val="none"/>
              </w:rPr>
            </w:pPr>
          </w:p>
        </w:tc>
        <w:tc>
          <w:tcPr>
            <w:tcW w:w="824" w:type="dxa"/>
            <w:vAlign w:val="center"/>
          </w:tcPr>
          <w:p>
            <w:pPr>
              <w:pStyle w:val="185"/>
              <w:rPr>
                <w:color w:val="auto"/>
                <w:highlight w:val="none"/>
              </w:rPr>
            </w:pPr>
          </w:p>
        </w:tc>
        <w:tc>
          <w:tcPr>
            <w:tcW w:w="786" w:type="dxa"/>
            <w:vAlign w:val="center"/>
          </w:tcPr>
          <w:p>
            <w:pPr>
              <w:pStyle w:val="185"/>
              <w:rPr>
                <w:color w:val="auto"/>
                <w:highlight w:val="none"/>
              </w:rPr>
            </w:pPr>
          </w:p>
        </w:tc>
        <w:tc>
          <w:tcPr>
            <w:tcW w:w="1118" w:type="dxa"/>
            <w:vAlign w:val="center"/>
          </w:tcPr>
          <w:p>
            <w:pPr>
              <w:pStyle w:val="185"/>
              <w:rPr>
                <w:color w:val="auto"/>
                <w:highlight w:val="none"/>
              </w:rPr>
            </w:pPr>
          </w:p>
        </w:tc>
        <w:tc>
          <w:tcPr>
            <w:tcW w:w="985" w:type="dxa"/>
            <w:vAlign w:val="center"/>
          </w:tcPr>
          <w:p>
            <w:pPr>
              <w:pStyle w:val="185"/>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3" w:type="dxa"/>
            <w:vAlign w:val="center"/>
          </w:tcPr>
          <w:p>
            <w:pPr>
              <w:pStyle w:val="185"/>
              <w:rPr>
                <w:color w:val="auto"/>
                <w:highlight w:val="none"/>
              </w:rPr>
            </w:pPr>
            <w:r>
              <w:rPr>
                <w:rFonts w:hint="eastAsia"/>
                <w:color w:val="auto"/>
                <w:highlight w:val="none"/>
              </w:rPr>
              <w:t>其它</w:t>
            </w:r>
          </w:p>
        </w:tc>
        <w:tc>
          <w:tcPr>
            <w:tcW w:w="879" w:type="dxa"/>
            <w:vAlign w:val="center"/>
          </w:tcPr>
          <w:p>
            <w:pPr>
              <w:pStyle w:val="185"/>
              <w:rPr>
                <w:color w:val="auto"/>
                <w:highlight w:val="none"/>
              </w:rPr>
            </w:pPr>
          </w:p>
        </w:tc>
        <w:tc>
          <w:tcPr>
            <w:tcW w:w="790" w:type="dxa"/>
            <w:vAlign w:val="center"/>
          </w:tcPr>
          <w:p>
            <w:pPr>
              <w:pStyle w:val="185"/>
              <w:rPr>
                <w:color w:val="auto"/>
                <w:highlight w:val="none"/>
              </w:rPr>
            </w:pPr>
          </w:p>
        </w:tc>
        <w:tc>
          <w:tcPr>
            <w:tcW w:w="820" w:type="dxa"/>
            <w:vAlign w:val="center"/>
          </w:tcPr>
          <w:p>
            <w:pPr>
              <w:pStyle w:val="185"/>
              <w:rPr>
                <w:color w:val="auto"/>
                <w:highlight w:val="none"/>
              </w:rPr>
            </w:pPr>
          </w:p>
        </w:tc>
        <w:tc>
          <w:tcPr>
            <w:tcW w:w="877" w:type="dxa"/>
            <w:vAlign w:val="center"/>
          </w:tcPr>
          <w:p>
            <w:pPr>
              <w:pStyle w:val="185"/>
              <w:rPr>
                <w:color w:val="auto"/>
                <w:highlight w:val="none"/>
              </w:rPr>
            </w:pPr>
          </w:p>
        </w:tc>
        <w:tc>
          <w:tcPr>
            <w:tcW w:w="824" w:type="dxa"/>
            <w:vAlign w:val="center"/>
          </w:tcPr>
          <w:p>
            <w:pPr>
              <w:pStyle w:val="185"/>
              <w:rPr>
                <w:color w:val="auto"/>
                <w:highlight w:val="none"/>
              </w:rPr>
            </w:pPr>
          </w:p>
        </w:tc>
        <w:tc>
          <w:tcPr>
            <w:tcW w:w="786" w:type="dxa"/>
            <w:vAlign w:val="center"/>
          </w:tcPr>
          <w:p>
            <w:pPr>
              <w:pStyle w:val="185"/>
              <w:rPr>
                <w:color w:val="auto"/>
                <w:highlight w:val="none"/>
              </w:rPr>
            </w:pPr>
          </w:p>
        </w:tc>
        <w:tc>
          <w:tcPr>
            <w:tcW w:w="1118" w:type="dxa"/>
            <w:vAlign w:val="center"/>
          </w:tcPr>
          <w:p>
            <w:pPr>
              <w:pStyle w:val="185"/>
              <w:rPr>
                <w:color w:val="auto"/>
                <w:highlight w:val="none"/>
              </w:rPr>
            </w:pPr>
          </w:p>
        </w:tc>
        <w:tc>
          <w:tcPr>
            <w:tcW w:w="985" w:type="dxa"/>
            <w:vAlign w:val="center"/>
          </w:tcPr>
          <w:p>
            <w:pPr>
              <w:pStyle w:val="185"/>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72" w:type="dxa"/>
            <w:gridSpan w:val="9"/>
            <w:vAlign w:val="center"/>
          </w:tcPr>
          <w:p>
            <w:pPr>
              <w:pStyle w:val="185"/>
              <w:jc w:val="left"/>
              <w:rPr>
                <w:color w:val="auto"/>
                <w:highlight w:val="none"/>
              </w:rPr>
            </w:pPr>
            <w:r>
              <w:rPr>
                <w:rFonts w:hint="eastAsia"/>
                <w:color w:val="auto"/>
                <w:highlight w:val="none"/>
              </w:rPr>
              <w:t>备注：</w:t>
            </w:r>
          </w:p>
          <w:p>
            <w:pPr>
              <w:pStyle w:val="185"/>
              <w:jc w:val="left"/>
              <w:rPr>
                <w:color w:val="auto"/>
                <w:highlight w:val="none"/>
              </w:rPr>
            </w:pPr>
            <w:r>
              <w:rPr>
                <w:rFonts w:hint="eastAsia"/>
                <w:color w:val="auto"/>
                <w:highlight w:val="none"/>
              </w:rPr>
              <w:t>1、根据《中华人民共和国招标投标法实施条例》、《广东省实施&lt;中华人民共和国招标投标法&gt;办法》、《广东省发展改革委关于贯彻落实&lt;必须招标的工程项目规定&gt;有关事宜的通知》（粤发改稽察〔2018〕266号）等有关规定，本项目建筑安装工程、勘察、设计、监理应公开招标。</w:t>
            </w:r>
          </w:p>
          <w:p>
            <w:pPr>
              <w:pStyle w:val="185"/>
              <w:jc w:val="left"/>
              <w:rPr>
                <w:color w:val="auto"/>
                <w:highlight w:val="none"/>
              </w:rPr>
            </w:pPr>
            <w:r>
              <w:rPr>
                <w:rFonts w:hint="eastAsia"/>
                <w:color w:val="auto"/>
                <w:highlight w:val="none"/>
              </w:rPr>
              <w:t>2、建设单位应按照规定在广东省招标投标监管网（www.gdzbtb.gov.cn)发布有关招称投标信息。</w:t>
            </w:r>
          </w:p>
          <w:p>
            <w:pPr>
              <w:pStyle w:val="185"/>
              <w:jc w:val="right"/>
              <w:rPr>
                <w:color w:val="auto"/>
                <w:highlight w:val="none"/>
              </w:rPr>
            </w:pPr>
          </w:p>
          <w:p>
            <w:pPr>
              <w:pStyle w:val="185"/>
              <w:rPr>
                <w:color w:val="auto"/>
                <w:highlight w:val="none"/>
              </w:rPr>
            </w:pPr>
            <w:r>
              <w:rPr>
                <w:rFonts w:hint="eastAsia"/>
                <w:color w:val="auto"/>
                <w:highlight w:val="none"/>
              </w:rPr>
              <w:t xml:space="preserve">                                                        建设部门盖章</w:t>
            </w:r>
          </w:p>
          <w:p>
            <w:pPr>
              <w:pStyle w:val="185"/>
              <w:rPr>
                <w:color w:val="auto"/>
                <w:highlight w:val="none"/>
              </w:rPr>
            </w:pPr>
            <w:r>
              <w:rPr>
                <w:rFonts w:hint="eastAsia"/>
                <w:color w:val="auto"/>
                <w:highlight w:val="none"/>
              </w:rPr>
              <w:t xml:space="preserve">                                                        年   月   日</w:t>
            </w:r>
          </w:p>
        </w:tc>
      </w:tr>
      <w:bookmarkEnd w:id="331"/>
      <w:bookmarkEnd w:id="332"/>
    </w:tbl>
    <w:p>
      <w:pPr>
        <w:tabs>
          <w:tab w:val="left" w:pos="2184"/>
        </w:tabs>
        <w:ind w:firstLine="460" w:firstLineChars="192"/>
        <w:rPr>
          <w:color w:val="auto"/>
          <w:highlight w:val="none"/>
        </w:rPr>
      </w:pPr>
    </w:p>
    <w:p>
      <w:pPr>
        <w:tabs>
          <w:tab w:val="left" w:pos="2184"/>
        </w:tabs>
        <w:ind w:firstLine="460" w:firstLineChars="192"/>
        <w:rPr>
          <w:b/>
          <w:color w:val="auto"/>
          <w:highlight w:val="none"/>
        </w:rPr>
        <w:sectPr>
          <w:headerReference r:id="rId12" w:type="first"/>
          <w:footerReference r:id="rId15" w:type="first"/>
          <w:headerReference r:id="rId10" w:type="default"/>
          <w:footerReference r:id="rId13" w:type="default"/>
          <w:headerReference r:id="rId11" w:type="even"/>
          <w:footerReference r:id="rId14" w:type="even"/>
          <w:pgSz w:w="11906" w:h="16838"/>
          <w:pgMar w:top="1440" w:right="1247" w:bottom="1440" w:left="1701" w:header="851" w:footer="992" w:gutter="0"/>
          <w:pgBorders>
            <w:top w:val="none" w:sz="0" w:space="0"/>
            <w:left w:val="none" w:sz="0" w:space="0"/>
            <w:bottom w:val="none" w:sz="0" w:space="0"/>
            <w:right w:val="none" w:sz="0" w:space="0"/>
          </w:pgBorders>
          <w:pgNumType w:fmt="decimal"/>
          <w:cols w:space="425" w:num="1"/>
          <w:docGrid w:linePitch="312" w:charSpace="0"/>
        </w:sectPr>
      </w:pPr>
      <w:r>
        <w:rPr>
          <w:color w:val="auto"/>
          <w:highlight w:val="none"/>
        </w:rPr>
        <w:br w:type="page"/>
      </w:r>
    </w:p>
    <w:p>
      <w:pPr>
        <w:pStyle w:val="2"/>
        <w:keepNext w:val="0"/>
        <w:keepLines w:val="0"/>
        <w:pageBreakBefore/>
        <w:spacing w:before="156" w:beforeLines="50" w:after="156" w:afterLines="50" w:line="360" w:lineRule="auto"/>
        <w:ind w:firstLine="640"/>
        <w:rPr>
          <w:b/>
          <w:color w:val="auto"/>
          <w:szCs w:val="32"/>
          <w:highlight w:val="none"/>
        </w:rPr>
      </w:pPr>
      <w:bookmarkStart w:id="353" w:name="_Toc32659"/>
      <w:bookmarkStart w:id="354" w:name="_Toc536295161"/>
      <w:r>
        <w:rPr>
          <w:rFonts w:hint="eastAsia"/>
          <w:color w:val="auto"/>
          <w:szCs w:val="32"/>
          <w:highlight w:val="none"/>
          <w:lang w:val="en-US" w:eastAsia="zh-CN"/>
        </w:rPr>
        <w:t>8</w:t>
      </w:r>
      <w:r>
        <w:rPr>
          <w:rFonts w:hint="eastAsia"/>
          <w:color w:val="auto"/>
          <w:szCs w:val="32"/>
          <w:highlight w:val="none"/>
        </w:rPr>
        <w:t xml:space="preserve">  建设征地与移民安置</w:t>
      </w:r>
      <w:bookmarkEnd w:id="353"/>
      <w:bookmarkEnd w:id="354"/>
    </w:p>
    <w:p>
      <w:pPr>
        <w:pStyle w:val="3"/>
        <w:rPr>
          <w:color w:val="auto"/>
          <w:highlight w:val="none"/>
        </w:rPr>
      </w:pPr>
      <w:bookmarkStart w:id="355" w:name="_Toc430020398"/>
      <w:bookmarkStart w:id="356" w:name="_Toc293599641"/>
      <w:bookmarkStart w:id="357" w:name="_Toc294539313"/>
      <w:bookmarkStart w:id="358" w:name="_Toc419901304"/>
      <w:bookmarkStart w:id="359" w:name="_Toc294614327"/>
      <w:bookmarkStart w:id="360" w:name="_Toc17742506"/>
      <w:bookmarkStart w:id="361" w:name="_Toc2195"/>
      <w:bookmarkStart w:id="362" w:name="_Toc37273810"/>
      <w:bookmarkStart w:id="363" w:name="_Toc404766592"/>
      <w:bookmarkStart w:id="364" w:name="_Toc536295183"/>
      <w:r>
        <w:rPr>
          <w:rFonts w:hint="eastAsia"/>
          <w:color w:val="auto"/>
          <w:highlight w:val="none"/>
          <w:lang w:val="en-US" w:eastAsia="zh-CN"/>
        </w:rPr>
        <w:t>8</w:t>
      </w:r>
      <w:r>
        <w:rPr>
          <w:color w:val="auto"/>
          <w:highlight w:val="none"/>
        </w:rPr>
        <w:t xml:space="preserve">.1 </w:t>
      </w:r>
      <w:bookmarkEnd w:id="355"/>
      <w:bookmarkEnd w:id="356"/>
      <w:bookmarkEnd w:id="357"/>
      <w:bookmarkEnd w:id="358"/>
      <w:bookmarkEnd w:id="359"/>
      <w:r>
        <w:rPr>
          <w:rFonts w:hint="eastAsia"/>
          <w:color w:val="auto"/>
          <w:highlight w:val="none"/>
        </w:rPr>
        <w:t>概述</w:t>
      </w:r>
      <w:bookmarkEnd w:id="360"/>
      <w:bookmarkEnd w:id="361"/>
      <w:bookmarkEnd w:id="362"/>
    </w:p>
    <w:p>
      <w:pPr>
        <w:ind w:firstLine="480"/>
        <w:rPr>
          <w:color w:val="auto"/>
          <w:highlight w:val="none"/>
        </w:rPr>
      </w:pPr>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渠道进行三面光改造，改造起点位于温泉镇桃莲村委后（桩号0+000），距离干渠渠首约5.5km，终点位于从莞深高速公路穿路箱涵进水口（桩号1+207），改造总长1207m。主要建设内容是对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渠道进行三面光改造，改造总长为</w:t>
      </w:r>
      <w:r>
        <w:rPr>
          <w:rFonts w:hint="eastAsia"/>
          <w:b w:val="0"/>
          <w:bCs/>
          <w:color w:val="auto"/>
          <w:highlight w:val="none"/>
          <w:lang w:val="en-US" w:eastAsia="zh-CN"/>
        </w:rPr>
        <w:t>1207m，主要建筑物包括新建浆砌石渠道1207m，新建泄洪闸1座，拆除重建泄洪闸2座，拆除重建机耕桥2座，拆除重建人行桥5座，新建钢筋砼溢流面板1168m²等。</w:t>
      </w:r>
    </w:p>
    <w:p>
      <w:pPr>
        <w:pStyle w:val="3"/>
        <w:rPr>
          <w:color w:val="auto"/>
          <w:highlight w:val="none"/>
        </w:rPr>
      </w:pPr>
      <w:bookmarkStart w:id="365" w:name="_Toc17979"/>
      <w:r>
        <w:rPr>
          <w:rFonts w:hint="eastAsia"/>
          <w:color w:val="auto"/>
          <w:highlight w:val="none"/>
          <w:lang w:val="en-US" w:eastAsia="zh-CN"/>
        </w:rPr>
        <w:t>8</w:t>
      </w:r>
      <w:r>
        <w:rPr>
          <w:rFonts w:hint="eastAsia"/>
          <w:color w:val="auto"/>
          <w:highlight w:val="none"/>
        </w:rPr>
        <w:t>.2 设计原则及依据</w:t>
      </w:r>
      <w:bookmarkEnd w:id="365"/>
    </w:p>
    <w:p>
      <w:pPr>
        <w:pStyle w:val="335"/>
        <w:spacing w:before="156" w:after="156"/>
        <w:rPr>
          <w:color w:val="auto"/>
          <w:highlight w:val="none"/>
        </w:rPr>
      </w:pPr>
      <w:r>
        <w:rPr>
          <w:rFonts w:hint="eastAsia"/>
          <w:color w:val="auto"/>
          <w:highlight w:val="none"/>
          <w:lang w:val="en-US" w:eastAsia="zh-CN"/>
        </w:rPr>
        <w:t>8</w:t>
      </w:r>
      <w:r>
        <w:rPr>
          <w:rFonts w:hint="eastAsia"/>
          <w:color w:val="auto"/>
          <w:highlight w:val="none"/>
        </w:rPr>
        <w:t>.2.1 设计原则</w:t>
      </w:r>
    </w:p>
    <w:p>
      <w:pPr>
        <w:ind w:firstLine="480"/>
        <w:rPr>
          <w:color w:val="auto"/>
          <w:highlight w:val="none"/>
        </w:rPr>
      </w:pPr>
      <w:r>
        <w:rPr>
          <w:rFonts w:hint="eastAsia"/>
          <w:color w:val="auto"/>
          <w:highlight w:val="none"/>
        </w:rPr>
        <w:t>少征用土地面积，不占用农保地，少拆迁房屋，少迁移人口，深入实地调查，兼顾工程建设和人民群众两方面的根本利益。建设征地补偿方式采用货币补偿。</w:t>
      </w:r>
    </w:p>
    <w:p>
      <w:pPr>
        <w:pStyle w:val="335"/>
        <w:spacing w:before="156" w:after="156"/>
        <w:rPr>
          <w:color w:val="auto"/>
          <w:highlight w:val="none"/>
        </w:rPr>
      </w:pPr>
      <w:r>
        <w:rPr>
          <w:rFonts w:hint="eastAsia"/>
          <w:color w:val="auto"/>
          <w:highlight w:val="none"/>
          <w:lang w:val="en-US" w:eastAsia="zh-CN"/>
        </w:rPr>
        <w:t>8</w:t>
      </w:r>
      <w:r>
        <w:rPr>
          <w:rFonts w:hint="eastAsia"/>
          <w:color w:val="auto"/>
          <w:highlight w:val="none"/>
        </w:rPr>
        <w:t>.2.2 设计依据</w:t>
      </w:r>
    </w:p>
    <w:p>
      <w:pPr>
        <w:ind w:firstLine="480"/>
        <w:rPr>
          <w:color w:val="auto"/>
          <w:highlight w:val="none"/>
        </w:rPr>
      </w:pPr>
      <w:r>
        <w:rPr>
          <w:rFonts w:hint="eastAsia"/>
          <w:color w:val="auto"/>
          <w:highlight w:val="none"/>
        </w:rPr>
        <w:t>（</w:t>
      </w:r>
      <w:r>
        <w:rPr>
          <w:color w:val="auto"/>
          <w:highlight w:val="none"/>
        </w:rPr>
        <w:t>1</w:t>
      </w:r>
      <w:r>
        <w:rPr>
          <w:rFonts w:hint="eastAsia"/>
          <w:color w:val="auto"/>
          <w:highlight w:val="none"/>
        </w:rPr>
        <w:t>）《中华人民共和国土地管理法》；</w:t>
      </w:r>
    </w:p>
    <w:p>
      <w:pPr>
        <w:ind w:firstLine="480"/>
        <w:rPr>
          <w:color w:val="auto"/>
          <w:highlight w:val="none"/>
        </w:rPr>
      </w:pPr>
      <w:r>
        <w:rPr>
          <w:rFonts w:hint="eastAsia"/>
          <w:color w:val="auto"/>
          <w:highlight w:val="none"/>
        </w:rPr>
        <w:t>（</w:t>
      </w:r>
      <w:r>
        <w:rPr>
          <w:color w:val="auto"/>
          <w:highlight w:val="none"/>
        </w:rPr>
        <w:t>2</w:t>
      </w:r>
      <w:r>
        <w:rPr>
          <w:rFonts w:hint="eastAsia"/>
          <w:color w:val="auto"/>
          <w:highlight w:val="none"/>
        </w:rPr>
        <w:t>）《大中型水利水电工程建设征地补偿和移民安置条例》国务院令第</w:t>
      </w:r>
      <w:r>
        <w:rPr>
          <w:color w:val="auto"/>
          <w:highlight w:val="none"/>
        </w:rPr>
        <w:t>471</w:t>
      </w:r>
      <w:r>
        <w:rPr>
          <w:rFonts w:hint="eastAsia"/>
          <w:color w:val="auto"/>
          <w:highlight w:val="none"/>
        </w:rPr>
        <w:t>号；</w:t>
      </w:r>
    </w:p>
    <w:p>
      <w:pPr>
        <w:ind w:firstLine="480"/>
        <w:rPr>
          <w:color w:val="auto"/>
          <w:highlight w:val="none"/>
        </w:rPr>
      </w:pPr>
      <w:r>
        <w:rPr>
          <w:rFonts w:hint="eastAsia"/>
          <w:color w:val="auto"/>
          <w:highlight w:val="none"/>
        </w:rPr>
        <w:t>（3）《广东省实施</w:t>
      </w:r>
      <w:r>
        <w:rPr>
          <w:color w:val="auto"/>
          <w:highlight w:val="none"/>
        </w:rPr>
        <w:t>&lt;</w:t>
      </w:r>
      <w:r>
        <w:rPr>
          <w:rFonts w:hint="eastAsia"/>
          <w:color w:val="auto"/>
          <w:highlight w:val="none"/>
        </w:rPr>
        <w:t>中华人民共和国土地管理法</w:t>
      </w:r>
      <w:r>
        <w:rPr>
          <w:color w:val="auto"/>
          <w:highlight w:val="none"/>
        </w:rPr>
        <w:t>&gt;</w:t>
      </w:r>
      <w:r>
        <w:rPr>
          <w:rFonts w:hint="eastAsia"/>
          <w:color w:val="auto"/>
          <w:highlight w:val="none"/>
        </w:rPr>
        <w:t>办法》；</w:t>
      </w:r>
    </w:p>
    <w:p>
      <w:pPr>
        <w:ind w:firstLine="480"/>
        <w:rPr>
          <w:color w:val="auto"/>
          <w:highlight w:val="none"/>
        </w:rPr>
      </w:pPr>
      <w:r>
        <w:rPr>
          <w:rFonts w:hint="eastAsia"/>
          <w:color w:val="auto"/>
          <w:highlight w:val="none"/>
        </w:rPr>
        <w:t>（4）《关于实施广东省征地补偿保护标准的通知》（2016年修正）；</w:t>
      </w:r>
    </w:p>
    <w:p>
      <w:pPr>
        <w:ind w:firstLine="480"/>
        <w:rPr>
          <w:color w:val="auto"/>
          <w:highlight w:val="none"/>
        </w:rPr>
      </w:pPr>
      <w:r>
        <w:rPr>
          <w:rFonts w:hint="eastAsia"/>
          <w:color w:val="auto"/>
          <w:highlight w:val="none"/>
        </w:rPr>
        <w:t>（5）《水利水电工程建设征地移民安置规划设计规范》（</w:t>
      </w:r>
      <w:r>
        <w:rPr>
          <w:color w:val="auto"/>
          <w:highlight w:val="none"/>
        </w:rPr>
        <w:t>SL290</w:t>
      </w:r>
      <w:r>
        <w:rPr>
          <w:rFonts w:hint="eastAsia"/>
          <w:color w:val="auto"/>
          <w:highlight w:val="none"/>
        </w:rPr>
        <w:t>—</w:t>
      </w:r>
      <w:r>
        <w:rPr>
          <w:color w:val="auto"/>
          <w:highlight w:val="none"/>
        </w:rPr>
        <w:t>2009</w:t>
      </w:r>
      <w:r>
        <w:rPr>
          <w:rFonts w:hint="eastAsia"/>
          <w:color w:val="auto"/>
          <w:highlight w:val="none"/>
        </w:rPr>
        <w:t>）；</w:t>
      </w:r>
    </w:p>
    <w:p>
      <w:pPr>
        <w:ind w:firstLine="480"/>
        <w:rPr>
          <w:color w:val="auto"/>
          <w:highlight w:val="none"/>
        </w:rPr>
      </w:pPr>
      <w:r>
        <w:rPr>
          <w:rFonts w:hint="eastAsia"/>
          <w:color w:val="auto"/>
          <w:highlight w:val="none"/>
        </w:rPr>
        <w:t>（6）《中华人民共和国耕地占用税暂行条例》（国务院令第</w:t>
      </w:r>
      <w:r>
        <w:rPr>
          <w:color w:val="auto"/>
          <w:highlight w:val="none"/>
        </w:rPr>
        <w:t xml:space="preserve"> 511 </w:t>
      </w:r>
      <w:r>
        <w:rPr>
          <w:rFonts w:hint="eastAsia"/>
          <w:color w:val="auto"/>
          <w:highlight w:val="none"/>
        </w:rPr>
        <w:t>号）；</w:t>
      </w:r>
    </w:p>
    <w:p>
      <w:pPr>
        <w:ind w:firstLine="480"/>
        <w:rPr>
          <w:color w:val="auto"/>
          <w:highlight w:val="none"/>
        </w:rPr>
      </w:pPr>
      <w:r>
        <w:rPr>
          <w:rFonts w:hint="eastAsia"/>
          <w:color w:val="auto"/>
          <w:highlight w:val="none"/>
        </w:rPr>
        <w:t>（7）广东省人民政府令第</w:t>
      </w:r>
      <w:r>
        <w:rPr>
          <w:color w:val="auto"/>
          <w:highlight w:val="none"/>
        </w:rPr>
        <w:t xml:space="preserve"> </w:t>
      </w:r>
      <w:r>
        <w:rPr>
          <w:rFonts w:hint="eastAsia"/>
          <w:color w:val="auto"/>
          <w:highlight w:val="none"/>
        </w:rPr>
        <w:t>146号《广东省非农业建设补充耕地管理办法》；</w:t>
      </w:r>
    </w:p>
    <w:p>
      <w:pPr>
        <w:ind w:firstLine="480"/>
        <w:rPr>
          <w:color w:val="auto"/>
          <w:highlight w:val="none"/>
        </w:rPr>
      </w:pPr>
      <w:r>
        <w:rPr>
          <w:rFonts w:hint="eastAsia"/>
          <w:color w:val="auto"/>
          <w:highlight w:val="none"/>
        </w:rPr>
        <w:t>（8）《广东省林地保护管理条例》（2019年修正）；</w:t>
      </w:r>
    </w:p>
    <w:p>
      <w:pPr>
        <w:ind w:firstLine="480"/>
        <w:rPr>
          <w:color w:val="auto"/>
          <w:highlight w:val="none"/>
        </w:rPr>
      </w:pPr>
      <w:r>
        <w:rPr>
          <w:rFonts w:hint="eastAsia"/>
          <w:color w:val="auto"/>
          <w:highlight w:val="none"/>
        </w:rPr>
        <w:t>（9）《水利水电工程建设征地移民实物调查规范》（</w:t>
      </w:r>
      <w:r>
        <w:rPr>
          <w:color w:val="auto"/>
          <w:highlight w:val="none"/>
        </w:rPr>
        <w:t>SL442</w:t>
      </w:r>
      <w:r>
        <w:rPr>
          <w:rFonts w:hint="eastAsia"/>
          <w:color w:val="auto"/>
          <w:highlight w:val="none"/>
        </w:rPr>
        <w:t>—</w:t>
      </w:r>
      <w:r>
        <w:rPr>
          <w:color w:val="auto"/>
          <w:highlight w:val="none"/>
        </w:rPr>
        <w:t>2009</w:t>
      </w:r>
      <w:r>
        <w:rPr>
          <w:rFonts w:hint="eastAsia"/>
          <w:color w:val="auto"/>
          <w:highlight w:val="none"/>
        </w:rPr>
        <w:t>）；</w:t>
      </w:r>
    </w:p>
    <w:p>
      <w:pPr>
        <w:ind w:firstLine="480"/>
        <w:rPr>
          <w:color w:val="auto"/>
          <w:highlight w:val="none"/>
        </w:rPr>
      </w:pPr>
      <w:r>
        <w:rPr>
          <w:rFonts w:hint="eastAsia"/>
          <w:color w:val="auto"/>
          <w:highlight w:val="none"/>
        </w:rPr>
        <w:t>（</w:t>
      </w:r>
      <w:r>
        <w:rPr>
          <w:color w:val="auto"/>
          <w:highlight w:val="none"/>
        </w:rPr>
        <w:t>1</w:t>
      </w:r>
      <w:r>
        <w:rPr>
          <w:rFonts w:hint="eastAsia"/>
          <w:color w:val="auto"/>
          <w:highlight w:val="none"/>
        </w:rPr>
        <w:t>0）《土地利用现状分类》（</w:t>
      </w:r>
      <w:r>
        <w:rPr>
          <w:color w:val="auto"/>
          <w:highlight w:val="none"/>
        </w:rPr>
        <w:t>GB/T21010</w:t>
      </w:r>
      <w:r>
        <w:rPr>
          <w:rFonts w:hint="eastAsia"/>
          <w:color w:val="auto"/>
          <w:highlight w:val="none"/>
        </w:rPr>
        <w:t>—</w:t>
      </w:r>
      <w:r>
        <w:rPr>
          <w:color w:val="auto"/>
          <w:highlight w:val="none"/>
        </w:rPr>
        <w:t>20</w:t>
      </w:r>
      <w:r>
        <w:rPr>
          <w:rFonts w:hint="eastAsia"/>
          <w:color w:val="auto"/>
          <w:highlight w:val="none"/>
        </w:rPr>
        <w:t>17）；</w:t>
      </w:r>
    </w:p>
    <w:p>
      <w:pPr>
        <w:ind w:firstLine="480"/>
        <w:rPr>
          <w:color w:val="auto"/>
          <w:highlight w:val="none"/>
        </w:rPr>
      </w:pPr>
      <w:r>
        <w:rPr>
          <w:rFonts w:hint="eastAsia"/>
          <w:color w:val="auto"/>
          <w:highlight w:val="none"/>
        </w:rPr>
        <w:t>（11）《广州市人民政府办公厅关于印发广州市农民集体所有土地征收补偿试行办法的通知》穗府办规[2017]10号。</w:t>
      </w:r>
    </w:p>
    <w:p>
      <w:pPr>
        <w:ind w:firstLine="480"/>
        <w:rPr>
          <w:rFonts w:hint="eastAsia"/>
          <w:color w:val="auto"/>
          <w:highlight w:val="none"/>
        </w:rPr>
      </w:pPr>
      <w:r>
        <w:rPr>
          <w:rFonts w:hint="eastAsia"/>
          <w:color w:val="auto"/>
          <w:highlight w:val="none"/>
        </w:rPr>
        <w:t>（12）《广东省水利水电工程设计概（估）算编制规定》</w:t>
      </w:r>
    </w:p>
    <w:p>
      <w:pPr>
        <w:pStyle w:val="3"/>
        <w:rPr>
          <w:rFonts w:hint="eastAsia"/>
          <w:color w:val="auto"/>
          <w:highlight w:val="none"/>
          <w:lang w:val="en-US" w:eastAsia="zh-CN"/>
        </w:rPr>
      </w:pPr>
      <w:bookmarkStart w:id="366" w:name="_Toc21054"/>
      <w:bookmarkStart w:id="367" w:name="_Toc27235"/>
      <w:bookmarkStart w:id="368" w:name="_Toc3796"/>
      <w:bookmarkStart w:id="369" w:name="OLE_LINK10"/>
      <w:r>
        <w:rPr>
          <w:rFonts w:hint="eastAsia"/>
          <w:color w:val="auto"/>
          <w:highlight w:val="none"/>
          <w:lang w:val="en-US" w:eastAsia="zh-CN"/>
        </w:rPr>
        <w:t>8.3 工程占地范围及实物指标</w:t>
      </w:r>
      <w:bookmarkEnd w:id="366"/>
      <w:bookmarkEnd w:id="367"/>
      <w:bookmarkEnd w:id="368"/>
    </w:p>
    <w:bookmarkEnd w:id="369"/>
    <w:p>
      <w:pPr>
        <w:ind w:firstLine="480"/>
        <w:rPr>
          <w:rFonts w:hint="eastAsia"/>
          <w:color w:val="auto"/>
          <w:highlight w:val="none"/>
        </w:rPr>
      </w:pPr>
      <w:bookmarkStart w:id="370" w:name="OLE_LINK9"/>
      <w:bookmarkStart w:id="371" w:name="_Toc468798804"/>
      <w:bookmarkStart w:id="372" w:name="_Toc24391"/>
      <w:bookmarkStart w:id="373" w:name="_Toc463013762"/>
      <w:bookmarkStart w:id="374" w:name="_Toc469038299"/>
      <w:r>
        <w:rPr>
          <w:rFonts w:hint="eastAsia"/>
          <w:color w:val="auto"/>
          <w:highlight w:val="none"/>
        </w:rPr>
        <w:t>根据调查及测量结果统计，本工程占地范围内实物指标统计汇总情况如下。</w:t>
      </w:r>
    </w:p>
    <w:bookmarkEnd w:id="370"/>
    <w:p>
      <w:pPr>
        <w:ind w:firstLine="480"/>
        <w:rPr>
          <w:rFonts w:hint="eastAsia"/>
          <w:color w:val="auto"/>
          <w:highlight w:val="none"/>
        </w:rPr>
      </w:pPr>
      <w:bookmarkStart w:id="375" w:name="OLE_LINK8"/>
      <w:r>
        <w:rPr>
          <w:rFonts w:hint="eastAsia"/>
          <w:color w:val="auto"/>
          <w:highlight w:val="none"/>
        </w:rPr>
        <w:t>（1）土地</w:t>
      </w:r>
    </w:p>
    <w:p>
      <w:pPr>
        <w:ind w:firstLine="480"/>
        <w:rPr>
          <w:rFonts w:hint="eastAsia"/>
          <w:color w:val="auto"/>
          <w:highlight w:val="none"/>
        </w:rPr>
      </w:pPr>
      <w:bookmarkStart w:id="376" w:name="OLE_LINK7"/>
      <w:r>
        <w:rPr>
          <w:rFonts w:hint="eastAsia"/>
          <w:color w:val="auto"/>
          <w:highlight w:val="none"/>
        </w:rPr>
        <w:t>本工程新增永久占地范围：南大水库灌区右岸为原状山体，左岸为现状渠堤路，本设计考虑渠道左岸新增永久占地无需征地，渠道右岸新增永久占地需征地。</w:t>
      </w:r>
      <w:r>
        <w:rPr>
          <w:rFonts w:hint="eastAsia"/>
          <w:color w:val="auto"/>
          <w:highlight w:val="none"/>
          <w:lang w:eastAsia="zh-CN"/>
        </w:rPr>
        <w:t>本设计</w:t>
      </w:r>
      <w:r>
        <w:rPr>
          <w:rFonts w:hint="eastAsia"/>
          <w:color w:val="auto"/>
          <w:highlight w:val="none"/>
        </w:rPr>
        <w:t>暂按设计永久占地边线与原渠道或泄水建筑物外边线所夹范围内的全部占地</w:t>
      </w:r>
      <w:r>
        <w:rPr>
          <w:rFonts w:hint="eastAsia"/>
          <w:color w:val="auto"/>
          <w:highlight w:val="none"/>
          <w:lang w:eastAsia="zh-CN"/>
        </w:rPr>
        <w:t>为</w:t>
      </w:r>
      <w:r>
        <w:rPr>
          <w:rFonts w:hint="eastAsia"/>
          <w:color w:val="auto"/>
          <w:highlight w:val="none"/>
        </w:rPr>
        <w:t>新增永久占地范围，经统计，共需新增永久占地为</w:t>
      </w:r>
      <w:r>
        <w:rPr>
          <w:rFonts w:hint="eastAsia"/>
          <w:color w:val="auto"/>
          <w:highlight w:val="none"/>
          <w:lang w:val="en-US" w:eastAsia="zh-CN"/>
        </w:rPr>
        <w:t>2.29</w:t>
      </w:r>
      <w:r>
        <w:rPr>
          <w:rFonts w:hint="eastAsia"/>
          <w:color w:val="auto"/>
          <w:highlight w:val="none"/>
        </w:rPr>
        <w:t>亩。</w:t>
      </w:r>
    </w:p>
    <w:p>
      <w:pPr>
        <w:ind w:firstLine="480"/>
        <w:rPr>
          <w:rFonts w:hint="eastAsia"/>
          <w:color w:val="auto"/>
          <w:highlight w:val="none"/>
        </w:rPr>
      </w:pPr>
      <w:r>
        <w:rPr>
          <w:rFonts w:hint="eastAsia"/>
          <w:color w:val="auto"/>
          <w:highlight w:val="none"/>
        </w:rPr>
        <w:t>本工程临时占地范围：一是泄水建筑物永久占地边线向外偏移5m为临时施工走廊，二是本设计考虑的临时进场道路，三是临时工棚和仓库，经统计，共需临时占地</w:t>
      </w:r>
      <w:r>
        <w:rPr>
          <w:rFonts w:hint="eastAsia"/>
          <w:color w:val="auto"/>
          <w:highlight w:val="none"/>
          <w:lang w:val="en-US" w:eastAsia="zh-CN"/>
        </w:rPr>
        <w:t>5.64</w:t>
      </w:r>
      <w:r>
        <w:rPr>
          <w:rFonts w:hint="eastAsia"/>
          <w:color w:val="auto"/>
          <w:highlight w:val="none"/>
        </w:rPr>
        <w:t>亩。</w:t>
      </w:r>
    </w:p>
    <w:bookmarkEnd w:id="376"/>
    <w:p>
      <w:pPr>
        <w:ind w:firstLine="480"/>
        <w:rPr>
          <w:rFonts w:hint="eastAsia"/>
          <w:color w:val="auto"/>
          <w:highlight w:val="none"/>
        </w:rPr>
      </w:pPr>
      <w:r>
        <w:rPr>
          <w:rFonts w:hint="eastAsia"/>
          <w:color w:val="auto"/>
          <w:highlight w:val="none"/>
        </w:rPr>
        <w:t>（2）房屋附着物</w:t>
      </w:r>
    </w:p>
    <w:p>
      <w:pPr>
        <w:ind w:firstLine="480"/>
        <w:rPr>
          <w:rFonts w:hint="eastAsia"/>
          <w:color w:val="auto"/>
          <w:highlight w:val="none"/>
        </w:rPr>
      </w:pPr>
      <w:r>
        <w:rPr>
          <w:rFonts w:hint="eastAsia"/>
          <w:color w:val="auto"/>
          <w:highlight w:val="none"/>
        </w:rPr>
        <w:t>本工程不涉及拆迁房屋及附着物。</w:t>
      </w:r>
    </w:p>
    <w:p>
      <w:pPr>
        <w:ind w:firstLine="480"/>
        <w:rPr>
          <w:rFonts w:hint="eastAsia"/>
          <w:color w:val="auto"/>
          <w:highlight w:val="none"/>
        </w:rPr>
      </w:pPr>
      <w:r>
        <w:rPr>
          <w:rFonts w:hint="eastAsia"/>
          <w:color w:val="auto"/>
          <w:highlight w:val="none"/>
        </w:rPr>
        <w:t>（3）青苗补偿</w:t>
      </w:r>
    </w:p>
    <w:p>
      <w:pPr>
        <w:ind w:firstLine="480"/>
        <w:rPr>
          <w:rFonts w:hint="eastAsia"/>
          <w:color w:val="auto"/>
          <w:highlight w:val="none"/>
        </w:rPr>
      </w:pPr>
      <w:r>
        <w:rPr>
          <w:rFonts w:hint="eastAsia"/>
          <w:color w:val="auto"/>
          <w:highlight w:val="none"/>
        </w:rPr>
        <w:t>因本工程建设征地而造成青苗补偿</w:t>
      </w:r>
      <w:r>
        <w:rPr>
          <w:rFonts w:hint="eastAsia"/>
          <w:color w:val="auto"/>
          <w:highlight w:val="none"/>
          <w:lang w:val="en-US" w:eastAsia="zh-CN"/>
        </w:rPr>
        <w:t>7.93</w:t>
      </w:r>
      <w:r>
        <w:rPr>
          <w:rFonts w:hint="eastAsia"/>
          <w:color w:val="auto"/>
          <w:highlight w:val="none"/>
        </w:rPr>
        <w:t>亩。</w:t>
      </w:r>
    </w:p>
    <w:p>
      <w:pPr>
        <w:ind w:firstLine="480"/>
        <w:rPr>
          <w:rFonts w:hint="eastAsia"/>
          <w:color w:val="auto"/>
          <w:highlight w:val="none"/>
        </w:rPr>
      </w:pPr>
      <w:r>
        <w:rPr>
          <w:rFonts w:hint="eastAsia"/>
          <w:color w:val="auto"/>
          <w:highlight w:val="none"/>
        </w:rPr>
        <w:t>（4）人口及房屋</w:t>
      </w:r>
    </w:p>
    <w:p>
      <w:pPr>
        <w:ind w:firstLine="480"/>
        <w:rPr>
          <w:rFonts w:hint="eastAsia"/>
          <w:color w:val="auto"/>
          <w:highlight w:val="none"/>
        </w:rPr>
      </w:pPr>
      <w:r>
        <w:rPr>
          <w:rFonts w:hint="eastAsia"/>
          <w:color w:val="auto"/>
          <w:highlight w:val="none"/>
        </w:rPr>
        <w:t>工程建设未涉及拆迁房屋和人口搬迁。</w:t>
      </w:r>
    </w:p>
    <w:bookmarkEnd w:id="375"/>
    <w:p>
      <w:pPr>
        <w:pStyle w:val="3"/>
        <w:rPr>
          <w:rFonts w:hint="eastAsia"/>
          <w:color w:val="auto"/>
          <w:highlight w:val="none"/>
          <w:lang w:val="en-US" w:eastAsia="zh-CN"/>
        </w:rPr>
      </w:pPr>
      <w:bookmarkStart w:id="377" w:name="_Toc24433"/>
      <w:bookmarkStart w:id="378" w:name="_Toc27659"/>
      <w:bookmarkStart w:id="379" w:name="_Toc12916"/>
      <w:r>
        <w:rPr>
          <w:rFonts w:hint="eastAsia"/>
          <w:color w:val="auto"/>
          <w:highlight w:val="none"/>
          <w:lang w:val="en-US" w:eastAsia="zh-CN"/>
        </w:rPr>
        <w:t>8.4 工程占地补偿标准</w:t>
      </w:r>
      <w:bookmarkEnd w:id="371"/>
      <w:bookmarkEnd w:id="372"/>
      <w:bookmarkEnd w:id="373"/>
      <w:bookmarkEnd w:id="374"/>
      <w:bookmarkEnd w:id="377"/>
      <w:bookmarkEnd w:id="378"/>
      <w:bookmarkEnd w:id="379"/>
    </w:p>
    <w:p>
      <w:pPr>
        <w:ind w:firstLine="480"/>
        <w:rPr>
          <w:rFonts w:hint="eastAsia"/>
          <w:color w:val="auto"/>
          <w:highlight w:val="none"/>
          <w:lang w:eastAsia="zh-CN"/>
        </w:rPr>
      </w:pPr>
      <w:r>
        <w:rPr>
          <w:rFonts w:hint="eastAsia"/>
          <w:color w:val="auto"/>
          <w:highlight w:val="none"/>
          <w:lang w:eastAsia="zh-CN"/>
        </w:rPr>
        <w:t>（1）工程占地补偿费</w:t>
      </w:r>
    </w:p>
    <w:p>
      <w:pPr>
        <w:ind w:firstLine="480"/>
        <w:rPr>
          <w:rFonts w:hint="eastAsia"/>
          <w:color w:val="auto"/>
          <w:highlight w:val="none"/>
          <w:lang w:eastAsia="zh-CN"/>
        </w:rPr>
      </w:pPr>
      <w:r>
        <w:rPr>
          <w:rFonts w:hint="eastAsia"/>
          <w:color w:val="auto"/>
          <w:highlight w:val="none"/>
        </w:rPr>
        <w:t>本次工程永久征地补偿单价分析主要依据广州市人民政府文件《广州市人民政府办公厅关于印发广州市农民集体所有土地征收补偿试行办法的通知》穗府办规[2016]2号进行分析。工程永久征地涉及温泉镇</w:t>
      </w:r>
      <w:r>
        <w:rPr>
          <w:rFonts w:hint="eastAsia"/>
          <w:color w:val="auto"/>
          <w:highlight w:val="none"/>
          <w:lang w:eastAsia="zh-CN"/>
        </w:rPr>
        <w:t>，</w:t>
      </w:r>
      <w:r>
        <w:rPr>
          <w:rFonts w:hint="eastAsia"/>
          <w:color w:val="auto"/>
          <w:highlight w:val="none"/>
        </w:rPr>
        <w:t>根据文件，温泉镇征地补偿标准为9.1万元/亩。</w:t>
      </w:r>
    </w:p>
    <w:p>
      <w:pPr>
        <w:ind w:firstLine="480"/>
        <w:rPr>
          <w:rFonts w:hint="eastAsia"/>
          <w:color w:val="auto"/>
          <w:highlight w:val="none"/>
          <w:lang w:eastAsia="zh-CN"/>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）临时用地补偿费</w:t>
      </w:r>
    </w:p>
    <w:p>
      <w:pPr>
        <w:ind w:firstLine="480"/>
        <w:rPr>
          <w:rFonts w:hint="eastAsia"/>
          <w:color w:val="auto"/>
          <w:highlight w:val="none"/>
          <w:lang w:eastAsia="zh-CN"/>
        </w:rPr>
      </w:pPr>
      <w:r>
        <w:rPr>
          <w:rFonts w:hint="eastAsia"/>
          <w:color w:val="auto"/>
          <w:highlight w:val="none"/>
          <w:lang w:eastAsia="zh-CN"/>
        </w:rPr>
        <w:t>本工程临时用地为</w:t>
      </w:r>
      <w:r>
        <w:rPr>
          <w:rFonts w:hint="eastAsia"/>
          <w:color w:val="auto"/>
          <w:highlight w:val="none"/>
          <w:lang w:val="en-US" w:eastAsia="zh-CN"/>
        </w:rPr>
        <w:t>4.89</w:t>
      </w:r>
      <w:r>
        <w:rPr>
          <w:rFonts w:hint="eastAsia"/>
          <w:color w:val="auto"/>
          <w:highlight w:val="none"/>
          <w:lang w:eastAsia="zh-CN"/>
        </w:rPr>
        <w:t xml:space="preserve"> 亩，根据《关于印发《从化市轨道交通十四号线、广从路快速化改造证（借）地及房屋拆迁补偿方案》的通知》（从国房字[2013]5号）的相关规定，耕地补偿标准为2400 元/亩/年，本次工程临时用地周期为1年。</w:t>
      </w:r>
    </w:p>
    <w:p>
      <w:pPr>
        <w:ind w:firstLine="480"/>
        <w:rPr>
          <w:rFonts w:hint="eastAsia"/>
          <w:color w:val="auto"/>
          <w:highlight w:val="none"/>
          <w:lang w:eastAsia="zh-CN"/>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）青苗补偿费</w:t>
      </w:r>
    </w:p>
    <w:p>
      <w:pPr>
        <w:ind w:firstLine="480"/>
        <w:rPr>
          <w:rFonts w:hint="eastAsia"/>
          <w:color w:val="auto"/>
          <w:highlight w:val="none"/>
          <w:lang w:eastAsia="zh-CN"/>
        </w:rPr>
      </w:pPr>
      <w:r>
        <w:rPr>
          <w:rFonts w:hint="eastAsia"/>
          <w:color w:val="auto"/>
          <w:highlight w:val="none"/>
          <w:lang w:eastAsia="zh-CN"/>
        </w:rPr>
        <w:t>本工程考虑</w:t>
      </w:r>
      <w:r>
        <w:rPr>
          <w:rFonts w:hint="eastAsia"/>
          <w:color w:val="auto"/>
          <w:highlight w:val="none"/>
        </w:rPr>
        <w:t>青苗补偿</w:t>
      </w:r>
      <w:r>
        <w:rPr>
          <w:rFonts w:hint="eastAsia"/>
          <w:color w:val="auto"/>
          <w:highlight w:val="none"/>
          <w:lang w:eastAsia="zh-CN"/>
        </w:rPr>
        <w:t>范围合计</w:t>
      </w:r>
      <w:r>
        <w:rPr>
          <w:rFonts w:hint="eastAsia"/>
          <w:color w:val="auto"/>
          <w:highlight w:val="none"/>
          <w:lang w:val="en-US" w:eastAsia="zh-CN"/>
        </w:rPr>
        <w:t>7.93</w:t>
      </w:r>
      <w:r>
        <w:rPr>
          <w:rFonts w:hint="eastAsia"/>
          <w:color w:val="auto"/>
          <w:highlight w:val="none"/>
          <w:lang w:eastAsia="zh-CN"/>
        </w:rPr>
        <w:t xml:space="preserve"> 亩，根据《广州市人民政府办公厅关于印发广州市农民集体所有土地征收补偿试行办法的通知》（穗府办规[2017]10 号）的相关规定，青苗补偿按照</w:t>
      </w:r>
      <w:r>
        <w:rPr>
          <w:rFonts w:hint="eastAsia"/>
          <w:color w:val="auto"/>
          <w:highlight w:val="none"/>
          <w:lang w:val="en-US" w:eastAsia="zh-CN"/>
        </w:rPr>
        <w:t>1.5</w:t>
      </w:r>
      <w:r>
        <w:rPr>
          <w:rFonts w:hint="eastAsia"/>
          <w:color w:val="auto"/>
          <w:highlight w:val="none"/>
          <w:lang w:eastAsia="zh-CN"/>
        </w:rPr>
        <w:t>万元/亩补偿。</w:t>
      </w:r>
    </w:p>
    <w:p>
      <w:pPr>
        <w:ind w:firstLine="480"/>
        <w:rPr>
          <w:rFonts w:hint="eastAsia"/>
          <w:color w:val="auto"/>
          <w:highlight w:val="none"/>
          <w:lang w:eastAsia="zh-CN"/>
        </w:rPr>
      </w:pPr>
      <w:r>
        <w:rPr>
          <w:rFonts w:hint="eastAsia"/>
          <w:color w:val="auto"/>
          <w:highlight w:val="none"/>
          <w:lang w:eastAsia="zh-CN"/>
        </w:rPr>
        <w:t>（</w:t>
      </w:r>
      <w:r>
        <w:rPr>
          <w:rFonts w:hint="eastAsia"/>
          <w:color w:val="auto"/>
          <w:highlight w:val="none"/>
          <w:lang w:val="en-US" w:eastAsia="zh-CN"/>
        </w:rPr>
        <w:t>4</w:t>
      </w:r>
      <w:r>
        <w:rPr>
          <w:rFonts w:hint="eastAsia"/>
          <w:color w:val="auto"/>
          <w:highlight w:val="none"/>
          <w:lang w:eastAsia="zh-CN"/>
        </w:rPr>
        <w:t>）清障费用</w:t>
      </w:r>
    </w:p>
    <w:p>
      <w:pPr>
        <w:ind w:firstLine="480"/>
        <w:rPr>
          <w:rFonts w:hint="eastAsia"/>
          <w:color w:val="auto"/>
          <w:highlight w:val="none"/>
          <w:lang w:eastAsia="zh-CN"/>
        </w:rPr>
      </w:pPr>
      <w:r>
        <w:rPr>
          <w:rFonts w:hint="eastAsia"/>
          <w:color w:val="auto"/>
          <w:highlight w:val="none"/>
          <w:lang w:eastAsia="zh-CN"/>
        </w:rPr>
        <w:t>根据《从化市人民政府关于加强土地征收和管护工作的意见》（从府[2014]28号），清障费按1500 元/亩标准拨付，用于完成场地内的清障和解决管护界线围敝过程中与村民发生的纠纷。</w:t>
      </w:r>
    </w:p>
    <w:p>
      <w:pPr>
        <w:ind w:firstLine="480"/>
        <w:rPr>
          <w:rFonts w:hint="eastAsia"/>
          <w:color w:val="auto"/>
          <w:highlight w:val="none"/>
          <w:lang w:eastAsia="zh-CN"/>
        </w:rPr>
      </w:pPr>
      <w:r>
        <w:rPr>
          <w:rFonts w:hint="eastAsia"/>
          <w:color w:val="auto"/>
          <w:highlight w:val="none"/>
          <w:lang w:eastAsia="zh-CN"/>
        </w:rPr>
        <w:t>（</w:t>
      </w:r>
      <w:r>
        <w:rPr>
          <w:rFonts w:hint="eastAsia"/>
          <w:color w:val="auto"/>
          <w:highlight w:val="none"/>
          <w:lang w:val="en-US" w:eastAsia="zh-CN"/>
        </w:rPr>
        <w:t>5</w:t>
      </w:r>
      <w:r>
        <w:rPr>
          <w:rFonts w:hint="eastAsia"/>
          <w:color w:val="auto"/>
          <w:highlight w:val="none"/>
          <w:lang w:eastAsia="zh-CN"/>
        </w:rPr>
        <w:t>）工作经费</w:t>
      </w:r>
    </w:p>
    <w:p>
      <w:pPr>
        <w:ind w:firstLine="480"/>
        <w:rPr>
          <w:rFonts w:hint="eastAsia"/>
          <w:color w:val="auto"/>
          <w:highlight w:val="none"/>
          <w:lang w:eastAsia="zh-CN"/>
        </w:rPr>
      </w:pPr>
      <w:r>
        <w:rPr>
          <w:rFonts w:hint="eastAsia"/>
          <w:color w:val="auto"/>
          <w:highlight w:val="none"/>
          <w:lang w:eastAsia="zh-CN"/>
        </w:rPr>
        <w:t>根据《广州市财政局、广州市住房和城乡建设局关于印发广州市本级财政投资项目征收补偿工作经费管理办法的通知》（穗财建[201</w:t>
      </w:r>
      <w:r>
        <w:rPr>
          <w:rFonts w:hint="eastAsia"/>
          <w:color w:val="auto"/>
          <w:highlight w:val="none"/>
          <w:lang w:val="en-US" w:eastAsia="zh-CN"/>
        </w:rPr>
        <w:t>9</w:t>
      </w:r>
      <w:r>
        <w:rPr>
          <w:rFonts w:hint="eastAsia"/>
          <w:color w:val="auto"/>
          <w:highlight w:val="none"/>
          <w:lang w:eastAsia="zh-CN"/>
        </w:rPr>
        <w:t>]</w:t>
      </w:r>
      <w:r>
        <w:rPr>
          <w:rFonts w:hint="eastAsia"/>
          <w:color w:val="auto"/>
          <w:highlight w:val="none"/>
          <w:lang w:val="en-US" w:eastAsia="zh-CN"/>
        </w:rPr>
        <w:t>74</w:t>
      </w:r>
      <w:r>
        <w:rPr>
          <w:rFonts w:hint="eastAsia"/>
          <w:color w:val="auto"/>
          <w:highlight w:val="none"/>
          <w:lang w:eastAsia="zh-CN"/>
        </w:rPr>
        <w:t>号），征收补偿工作经费列入建设项目总概算，以建设项目总概算中土地及建（构）物征收、管线及绿化迁移补偿等为取行或租用土地使用权而发生的费用作为计算基数（不含预备费）。征收补偿工作经费按不超</w:t>
      </w:r>
      <w:r>
        <w:rPr>
          <w:rFonts w:hint="eastAsia"/>
          <w:color w:val="auto"/>
          <w:highlight w:val="none"/>
          <w:lang w:val="en-US" w:eastAsia="zh-CN"/>
        </w:rPr>
        <w:t>2%的比例实行总额控制</w:t>
      </w:r>
      <w:r>
        <w:rPr>
          <w:rFonts w:hint="eastAsia"/>
          <w:color w:val="auto"/>
          <w:highlight w:val="none"/>
          <w:lang w:eastAsia="zh-CN"/>
        </w:rPr>
        <w:t>。</w:t>
      </w:r>
    </w:p>
    <w:p>
      <w:pPr>
        <w:ind w:firstLine="480"/>
        <w:rPr>
          <w:rFonts w:hint="eastAsia"/>
          <w:color w:val="auto"/>
          <w:highlight w:val="none"/>
          <w:lang w:eastAsia="zh-CN"/>
        </w:rPr>
      </w:pPr>
      <w:r>
        <w:rPr>
          <w:rFonts w:hint="eastAsia"/>
          <w:color w:val="auto"/>
          <w:highlight w:val="none"/>
          <w:lang w:eastAsia="zh-CN"/>
        </w:rPr>
        <w:t>（</w:t>
      </w:r>
      <w:r>
        <w:rPr>
          <w:rFonts w:hint="eastAsia"/>
          <w:color w:val="auto"/>
          <w:highlight w:val="none"/>
          <w:lang w:val="en-US" w:eastAsia="zh-CN"/>
        </w:rPr>
        <w:t>6</w:t>
      </w:r>
      <w:r>
        <w:rPr>
          <w:rFonts w:hint="eastAsia"/>
          <w:color w:val="auto"/>
          <w:highlight w:val="none"/>
          <w:lang w:eastAsia="zh-CN"/>
        </w:rPr>
        <w:t>）其他费用</w:t>
      </w:r>
    </w:p>
    <w:p>
      <w:pPr>
        <w:ind w:firstLine="480"/>
        <w:rPr>
          <w:rFonts w:hint="eastAsia"/>
          <w:color w:val="auto"/>
          <w:highlight w:val="none"/>
          <w:lang w:eastAsia="zh-CN"/>
        </w:rPr>
      </w:pPr>
      <w:r>
        <w:rPr>
          <w:rFonts w:hint="eastAsia"/>
          <w:color w:val="auto"/>
          <w:highlight w:val="none"/>
          <w:lang w:eastAsia="zh-CN"/>
        </w:rPr>
        <w:t>其他费用均参考《广东省水利水电工程设计概（估）算编制规定》（2017）或市场价作为计算依据。</w:t>
      </w:r>
    </w:p>
    <w:p>
      <w:pPr>
        <w:ind w:firstLine="480"/>
        <w:rPr>
          <w:rFonts w:hint="eastAsia"/>
          <w:color w:val="auto"/>
          <w:highlight w:val="none"/>
          <w:lang w:eastAsia="zh-CN"/>
        </w:rPr>
      </w:pPr>
      <w:r>
        <w:rPr>
          <w:rFonts w:hint="eastAsia"/>
          <w:color w:val="auto"/>
          <w:highlight w:val="none"/>
          <w:lang w:eastAsia="zh-CN"/>
        </w:rPr>
        <w:t>（</w:t>
      </w:r>
      <w:r>
        <w:rPr>
          <w:rFonts w:hint="eastAsia"/>
          <w:color w:val="auto"/>
          <w:highlight w:val="none"/>
          <w:lang w:val="en-US" w:eastAsia="zh-CN"/>
        </w:rPr>
        <w:t>7</w:t>
      </w:r>
      <w:r>
        <w:rPr>
          <w:rFonts w:hint="eastAsia"/>
          <w:color w:val="auto"/>
          <w:highlight w:val="none"/>
          <w:lang w:eastAsia="zh-CN"/>
        </w:rPr>
        <w:t>）预备费</w:t>
      </w:r>
    </w:p>
    <w:p>
      <w:pPr>
        <w:ind w:firstLine="480"/>
        <w:rPr>
          <w:rFonts w:hint="eastAsia"/>
          <w:color w:val="auto"/>
          <w:highlight w:val="none"/>
          <w:lang w:eastAsia="zh-CN"/>
        </w:rPr>
      </w:pPr>
      <w:r>
        <w:rPr>
          <w:rFonts w:hint="eastAsia"/>
          <w:color w:val="auto"/>
          <w:highlight w:val="none"/>
          <w:lang w:eastAsia="zh-CN"/>
        </w:rPr>
        <w:t>征地预备费根据《广东省水利水电工程设计概（估）算编制规定》（2017 年），可行性研究设计阶段基本预备费取以上各类费用总和的</w:t>
      </w:r>
      <w:r>
        <w:rPr>
          <w:rFonts w:hint="eastAsia"/>
          <w:color w:val="auto"/>
          <w:highlight w:val="none"/>
          <w:lang w:val="en-US" w:eastAsia="zh-CN"/>
        </w:rPr>
        <w:t>5</w:t>
      </w:r>
      <w:r>
        <w:rPr>
          <w:rFonts w:hint="eastAsia"/>
          <w:color w:val="auto"/>
          <w:highlight w:val="none"/>
          <w:lang w:eastAsia="zh-CN"/>
        </w:rPr>
        <w:t>％计列。</w:t>
      </w:r>
    </w:p>
    <w:p>
      <w:pPr>
        <w:pStyle w:val="3"/>
        <w:rPr>
          <w:rFonts w:hint="eastAsia"/>
          <w:color w:val="auto"/>
          <w:highlight w:val="none"/>
          <w:lang w:val="en-US" w:eastAsia="zh-CN"/>
        </w:rPr>
      </w:pPr>
      <w:bookmarkStart w:id="380" w:name="_Toc2458"/>
      <w:bookmarkStart w:id="381" w:name="_Toc19923"/>
      <w:bookmarkStart w:id="382" w:name="_Toc19333"/>
      <w:bookmarkStart w:id="383" w:name="OLE_LINK11"/>
      <w:r>
        <w:rPr>
          <w:rFonts w:hint="eastAsia"/>
          <w:color w:val="auto"/>
          <w:highlight w:val="none"/>
          <w:lang w:val="en-US" w:eastAsia="zh-CN"/>
        </w:rPr>
        <w:t>8.5 占地补偿投资总估算</w:t>
      </w:r>
      <w:bookmarkEnd w:id="380"/>
      <w:bookmarkEnd w:id="381"/>
      <w:bookmarkEnd w:id="382"/>
    </w:p>
    <w:p>
      <w:pPr>
        <w:ind w:firstLine="480"/>
        <w:rPr>
          <w:rFonts w:hint="eastAsia"/>
          <w:color w:val="auto"/>
          <w:highlight w:val="none"/>
          <w:lang w:val="en-US" w:eastAsia="zh-CN"/>
        </w:rPr>
      </w:pPr>
      <w:r>
        <w:rPr>
          <w:rFonts w:hint="eastAsia"/>
          <w:color w:val="auto"/>
          <w:highlight w:val="none"/>
          <w:lang w:eastAsia="zh-CN"/>
        </w:rPr>
        <w:t>本工程占地补偿投资总估算说见下表</w:t>
      </w:r>
      <w:r>
        <w:rPr>
          <w:rFonts w:hint="eastAsia"/>
          <w:color w:val="auto"/>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ascii="宋体" w:hAnsi="宋体" w:eastAsia="宋体" w:cs="宋体"/>
          <w:color w:val="auto"/>
          <w:kern w:val="28"/>
          <w:sz w:val="24"/>
          <w:szCs w:val="24"/>
          <w:highlight w:val="none"/>
          <w:lang w:val="en-US" w:eastAsia="zh-CN"/>
        </w:rPr>
      </w:pPr>
      <w:r>
        <w:rPr>
          <w:rFonts w:hint="eastAsia" w:ascii="宋体" w:hAnsi="宋体" w:eastAsia="宋体" w:cs="宋体"/>
          <w:color w:val="auto"/>
          <w:kern w:val="28"/>
          <w:sz w:val="24"/>
          <w:szCs w:val="24"/>
          <w:highlight w:val="none"/>
          <w:lang w:val="en-US" w:eastAsia="zh-CN"/>
        </w:rPr>
        <w:br w:type="page"/>
      </w:r>
    </w:p>
    <w:p>
      <w:pPr>
        <w:ind w:left="0" w:leftChars="0" w:firstLine="0" w:firstLineChars="0"/>
        <w:jc w:val="center"/>
        <w:rPr>
          <w:rFonts w:hint="eastAsia"/>
          <w:color w:val="auto"/>
          <w:highlight w:val="none"/>
          <w:lang w:val="en-US" w:eastAsia="zh-CN"/>
        </w:rPr>
      </w:pPr>
    </w:p>
    <w:p>
      <w:pPr>
        <w:ind w:left="0" w:leftChars="0" w:firstLine="0" w:firstLineChars="0"/>
        <w:jc w:val="center"/>
        <w:rPr>
          <w:rFonts w:hint="eastAsia"/>
          <w:color w:val="auto"/>
          <w:highlight w:val="none"/>
          <w:lang w:val="en-US" w:eastAsia="zh-CN"/>
        </w:rPr>
      </w:pPr>
      <w:r>
        <w:rPr>
          <w:rFonts w:hint="eastAsia"/>
          <w:color w:val="auto"/>
          <w:highlight w:val="none"/>
          <w:lang w:val="en-US" w:eastAsia="zh-CN"/>
        </w:rPr>
        <w:t>表8-1    工程占用地补偿投资总估算表</w:t>
      </w:r>
    </w:p>
    <w:tbl>
      <w:tblPr>
        <w:tblStyle w:val="47"/>
        <w:tblW w:w="8988" w:type="dxa"/>
        <w:tblInd w:w="0" w:type="dxa"/>
        <w:tblLayout w:type="fixed"/>
        <w:tblCellMar>
          <w:top w:w="0" w:type="dxa"/>
          <w:left w:w="0" w:type="dxa"/>
          <w:bottom w:w="0" w:type="dxa"/>
          <w:right w:w="0" w:type="dxa"/>
        </w:tblCellMar>
      </w:tblPr>
      <w:tblGrid>
        <w:gridCol w:w="1067"/>
        <w:gridCol w:w="2565"/>
        <w:gridCol w:w="1325"/>
        <w:gridCol w:w="1326"/>
        <w:gridCol w:w="1824"/>
        <w:gridCol w:w="881"/>
      </w:tblGrid>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项目编码</w:t>
            </w: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工程项目或费用各称</w:t>
            </w:r>
          </w:p>
        </w:tc>
        <w:tc>
          <w:tcPr>
            <w:tcW w:w="13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数量（亩）</w:t>
            </w:r>
          </w:p>
        </w:tc>
        <w:tc>
          <w:tcPr>
            <w:tcW w:w="132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单价（元）</w:t>
            </w: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合计(元)</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备注</w:t>
            </w:r>
          </w:p>
        </w:tc>
      </w:tr>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1</w:t>
            </w: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土地综合补偿费</w:t>
            </w:r>
          </w:p>
        </w:tc>
        <w:tc>
          <w:tcPr>
            <w:tcW w:w="13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2.29 </w:t>
            </w:r>
          </w:p>
        </w:tc>
        <w:tc>
          <w:tcPr>
            <w:tcW w:w="132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91000 </w:t>
            </w: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208390.00 </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p>
        </w:tc>
      </w:tr>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2</w:t>
            </w: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临时租用地</w:t>
            </w:r>
          </w:p>
        </w:tc>
        <w:tc>
          <w:tcPr>
            <w:tcW w:w="13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default" w:ascii="宋体" w:hAnsi="宋体"/>
                <w:color w:val="auto"/>
                <w:sz w:val="24"/>
                <w:szCs w:val="24"/>
                <w:highlight w:val="none"/>
                <w:lang w:val="en-US" w:eastAsia="zh-CN"/>
              </w:rPr>
            </w:pPr>
            <w:r>
              <w:rPr>
                <w:rFonts w:hint="eastAsia" w:ascii="宋体" w:hAnsi="宋体"/>
                <w:color w:val="auto"/>
                <w:sz w:val="24"/>
                <w:szCs w:val="24"/>
                <w:highlight w:val="none"/>
                <w:lang w:val="en-US" w:eastAsia="zh-CN"/>
              </w:rPr>
              <w:t>5.64</w:t>
            </w:r>
          </w:p>
        </w:tc>
        <w:tc>
          <w:tcPr>
            <w:tcW w:w="132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2400</w:t>
            </w: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13536.00 </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default" w:ascii="宋体" w:hAnsi="宋体"/>
                <w:color w:val="auto"/>
                <w:sz w:val="24"/>
                <w:szCs w:val="24"/>
                <w:highlight w:val="none"/>
                <w:lang w:val="en-US" w:eastAsia="zh-CN"/>
              </w:rPr>
            </w:pPr>
          </w:p>
        </w:tc>
      </w:tr>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3</w:t>
            </w: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青苗补偿费</w:t>
            </w:r>
          </w:p>
        </w:tc>
        <w:tc>
          <w:tcPr>
            <w:tcW w:w="13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7.93 </w:t>
            </w:r>
          </w:p>
        </w:tc>
        <w:tc>
          <w:tcPr>
            <w:tcW w:w="132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15000</w:t>
            </w: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118950.00 </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p>
        </w:tc>
      </w:tr>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4</w:t>
            </w: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征地工作费</w:t>
            </w:r>
          </w:p>
        </w:tc>
        <w:tc>
          <w:tcPr>
            <w:tcW w:w="13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7.93 </w:t>
            </w:r>
          </w:p>
        </w:tc>
        <w:tc>
          <w:tcPr>
            <w:tcW w:w="132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3000 </w:t>
            </w: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23790.00 </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p>
        </w:tc>
      </w:tr>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5</w:t>
            </w: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清障费</w:t>
            </w:r>
          </w:p>
        </w:tc>
        <w:tc>
          <w:tcPr>
            <w:tcW w:w="13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default" w:ascii="宋体" w:hAnsi="宋体"/>
                <w:color w:val="auto"/>
                <w:sz w:val="24"/>
                <w:szCs w:val="24"/>
                <w:highlight w:val="none"/>
                <w:lang w:val="en-US" w:eastAsia="zh-CN"/>
              </w:rPr>
            </w:pPr>
            <w:r>
              <w:rPr>
                <w:rFonts w:hint="eastAsia" w:ascii="宋体" w:hAnsi="宋体"/>
                <w:color w:val="auto"/>
                <w:sz w:val="24"/>
                <w:szCs w:val="24"/>
                <w:highlight w:val="none"/>
                <w:lang w:val="en-US" w:eastAsia="zh-CN"/>
              </w:rPr>
              <w:t>7.93</w:t>
            </w:r>
          </w:p>
        </w:tc>
        <w:tc>
          <w:tcPr>
            <w:tcW w:w="132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1500</w:t>
            </w: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11895.00 </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p>
        </w:tc>
      </w:tr>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6</w:t>
            </w: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测量定线费</w:t>
            </w:r>
          </w:p>
        </w:tc>
        <w:tc>
          <w:tcPr>
            <w:tcW w:w="2651"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30000</w:t>
            </w: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30000.00 </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p>
        </w:tc>
      </w:tr>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7</w:t>
            </w: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基本预备费</w:t>
            </w:r>
          </w:p>
        </w:tc>
        <w:tc>
          <w:tcPr>
            <w:tcW w:w="2651"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（1+2+3+4+5+6）*0.05</w:t>
            </w: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20328.05 </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p>
        </w:tc>
      </w:tr>
      <w:tr>
        <w:tblPrEx>
          <w:tblCellMar>
            <w:top w:w="0" w:type="dxa"/>
            <w:left w:w="0" w:type="dxa"/>
            <w:bottom w:w="0" w:type="dxa"/>
            <w:right w:w="0" w:type="dxa"/>
          </w:tblCellMar>
        </w:tblPrEx>
        <w:trPr>
          <w:trHeight w:val="760" w:hRule="atLeast"/>
        </w:trPr>
        <w:tc>
          <w:tcPr>
            <w:tcW w:w="106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default" w:ascii="宋体" w:hAnsi="宋体"/>
                <w:color w:val="auto"/>
                <w:sz w:val="24"/>
                <w:szCs w:val="24"/>
                <w:highlight w:val="none"/>
                <w:lang w:val="en-US" w:eastAsia="zh-CN"/>
              </w:rPr>
            </w:pPr>
          </w:p>
        </w:tc>
        <w:tc>
          <w:tcPr>
            <w:tcW w:w="25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总计</w:t>
            </w:r>
          </w:p>
        </w:tc>
        <w:tc>
          <w:tcPr>
            <w:tcW w:w="2651"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p>
        </w:tc>
        <w:tc>
          <w:tcPr>
            <w:tcW w:w="1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 xml:space="preserve">426889.05 </w:t>
            </w:r>
          </w:p>
        </w:tc>
        <w:tc>
          <w:tcPr>
            <w:tcW w:w="8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360" w:lineRule="auto"/>
              <w:ind w:left="0" w:leftChars="0" w:firstLine="0" w:firstLineChars="0"/>
              <w:jc w:val="center"/>
              <w:rPr>
                <w:rFonts w:hint="eastAsia" w:ascii="宋体" w:hAnsi="宋体"/>
                <w:color w:val="auto"/>
                <w:sz w:val="24"/>
                <w:szCs w:val="24"/>
                <w:highlight w:val="none"/>
                <w:lang w:val="en-US" w:eastAsia="zh-CN"/>
              </w:rPr>
            </w:pPr>
          </w:p>
        </w:tc>
      </w:tr>
    </w:tbl>
    <w:p>
      <w:pPr>
        <w:ind w:left="0" w:leftChars="0" w:firstLine="0" w:firstLineChars="0"/>
        <w:jc w:val="center"/>
        <w:rPr>
          <w:rFonts w:hint="eastAsia"/>
          <w:color w:val="auto"/>
          <w:highlight w:val="none"/>
          <w:lang w:val="en-US" w:eastAsia="zh-CN"/>
        </w:rPr>
      </w:pPr>
    </w:p>
    <w:bookmarkEnd w:id="383"/>
    <w:p>
      <w:pPr>
        <w:adjustRightInd w:val="0"/>
        <w:snapToGrid w:val="0"/>
        <w:spacing w:line="240" w:lineRule="auto"/>
        <w:ind w:firstLine="0" w:firstLineChars="0"/>
        <w:jc w:val="center"/>
        <w:rPr>
          <w:rFonts w:eastAsia="黑体"/>
          <w:color w:val="auto"/>
          <w:kern w:val="0"/>
          <w:highlight w:val="none"/>
        </w:rPr>
      </w:pPr>
    </w:p>
    <w:p>
      <w:pPr>
        <w:pStyle w:val="2"/>
        <w:keepNext w:val="0"/>
        <w:keepLines w:val="0"/>
        <w:pageBreakBefore/>
        <w:spacing w:before="156" w:beforeLines="50" w:after="156" w:afterLines="50" w:line="360" w:lineRule="auto"/>
        <w:ind w:firstLine="640"/>
        <w:rPr>
          <w:b/>
          <w:color w:val="auto"/>
          <w:szCs w:val="32"/>
          <w:highlight w:val="none"/>
        </w:rPr>
      </w:pPr>
      <w:bookmarkStart w:id="384" w:name="_Toc16359"/>
      <w:r>
        <w:rPr>
          <w:rFonts w:hint="eastAsia"/>
          <w:color w:val="auto"/>
          <w:szCs w:val="32"/>
          <w:highlight w:val="none"/>
          <w:lang w:val="en-US" w:eastAsia="zh-CN"/>
        </w:rPr>
        <w:t>9</w:t>
      </w:r>
      <w:r>
        <w:rPr>
          <w:rFonts w:hint="eastAsia"/>
          <w:color w:val="auto"/>
          <w:szCs w:val="32"/>
          <w:highlight w:val="none"/>
        </w:rPr>
        <w:t xml:space="preserve">  环境</w:t>
      </w:r>
      <w:bookmarkEnd w:id="363"/>
      <w:bookmarkEnd w:id="364"/>
      <w:r>
        <w:rPr>
          <w:rFonts w:hint="eastAsia"/>
          <w:b/>
          <w:color w:val="auto"/>
          <w:szCs w:val="32"/>
          <w:highlight w:val="none"/>
        </w:rPr>
        <w:t>保护设计</w:t>
      </w:r>
      <w:bookmarkEnd w:id="384"/>
    </w:p>
    <w:p>
      <w:pPr>
        <w:pStyle w:val="3"/>
        <w:ind w:left="0" w:leftChars="0" w:firstLine="0" w:firstLineChars="0"/>
        <w:rPr>
          <w:rFonts w:hint="eastAsia"/>
          <w:color w:val="auto"/>
          <w:highlight w:val="none"/>
          <w:lang w:val="en-US" w:eastAsia="zh-CN"/>
        </w:rPr>
      </w:pPr>
      <w:bookmarkStart w:id="385" w:name="_Toc469038301"/>
      <w:bookmarkStart w:id="386" w:name="_Toc467768645"/>
      <w:bookmarkStart w:id="387" w:name="_Toc19658"/>
      <w:bookmarkStart w:id="388" w:name="_Toc16055"/>
      <w:bookmarkStart w:id="389" w:name="_Toc31491"/>
      <w:bookmarkStart w:id="390" w:name="_Toc468798806"/>
      <w:bookmarkStart w:id="391" w:name="_Toc27138"/>
      <w:bookmarkStart w:id="392" w:name="_Toc7663"/>
      <w:r>
        <w:rPr>
          <w:rFonts w:hint="eastAsia"/>
          <w:color w:val="auto"/>
          <w:highlight w:val="none"/>
          <w:lang w:val="en-US" w:eastAsia="zh-CN"/>
        </w:rPr>
        <w:t>9.1设计依据</w:t>
      </w:r>
      <w:bookmarkEnd w:id="385"/>
      <w:bookmarkEnd w:id="386"/>
      <w:bookmarkEnd w:id="387"/>
      <w:bookmarkEnd w:id="388"/>
      <w:bookmarkEnd w:id="389"/>
      <w:bookmarkEnd w:id="390"/>
      <w:bookmarkEnd w:id="391"/>
      <w:bookmarkEnd w:id="392"/>
    </w:p>
    <w:p>
      <w:pPr>
        <w:ind w:firstLine="480"/>
        <w:rPr>
          <w:rFonts w:hint="eastAsia"/>
          <w:color w:val="auto"/>
          <w:highlight w:val="none"/>
          <w:lang w:eastAsia="zh-CN"/>
        </w:rPr>
      </w:pPr>
      <w:r>
        <w:rPr>
          <w:rFonts w:hint="eastAsia"/>
          <w:color w:val="auto"/>
          <w:highlight w:val="none"/>
          <w:lang w:eastAsia="zh-CN"/>
        </w:rPr>
        <w:t>（1）《建设项目环境保护管理条例》（1998年11月29日中华人民共和国国务院第253号令发布）；</w:t>
      </w:r>
    </w:p>
    <w:p>
      <w:pPr>
        <w:ind w:firstLine="480"/>
        <w:rPr>
          <w:rFonts w:hint="eastAsia"/>
          <w:color w:val="auto"/>
          <w:highlight w:val="none"/>
          <w:lang w:eastAsia="zh-CN"/>
        </w:rPr>
      </w:pPr>
      <w:r>
        <w:rPr>
          <w:rFonts w:hint="eastAsia"/>
          <w:color w:val="auto"/>
          <w:highlight w:val="none"/>
          <w:lang w:eastAsia="zh-CN"/>
        </w:rPr>
        <w:t>（2）《建设项目环境保护设计规定》（1987年3月20日国家计划委员会国务院环境保护委员会发布）；</w:t>
      </w:r>
    </w:p>
    <w:p>
      <w:pPr>
        <w:ind w:firstLine="480"/>
        <w:rPr>
          <w:rFonts w:hint="eastAsia"/>
          <w:color w:val="auto"/>
          <w:highlight w:val="none"/>
          <w:lang w:eastAsia="zh-CN"/>
        </w:rPr>
      </w:pPr>
      <w:r>
        <w:rPr>
          <w:rFonts w:hint="eastAsia"/>
          <w:color w:val="auto"/>
          <w:highlight w:val="none"/>
          <w:lang w:eastAsia="zh-CN"/>
        </w:rPr>
        <w:t>（3）《水利水电工程环境影响评价规范（试行）》（SDJ302-28）。</w:t>
      </w:r>
    </w:p>
    <w:p>
      <w:pPr>
        <w:pStyle w:val="3"/>
        <w:ind w:left="0" w:leftChars="0" w:firstLine="0" w:firstLineChars="0"/>
        <w:rPr>
          <w:rFonts w:hint="eastAsia"/>
          <w:color w:val="auto"/>
          <w:highlight w:val="none"/>
          <w:lang w:val="en-US" w:eastAsia="zh-CN"/>
        </w:rPr>
      </w:pPr>
      <w:bookmarkStart w:id="393" w:name="_Toc467768646"/>
      <w:bookmarkStart w:id="394" w:name="_Toc469038302"/>
      <w:bookmarkStart w:id="395" w:name="_Toc14485"/>
      <w:bookmarkStart w:id="396" w:name="_Toc468798807"/>
      <w:bookmarkStart w:id="397" w:name="_Toc2574"/>
      <w:bookmarkStart w:id="398" w:name="_Toc21390"/>
      <w:bookmarkStart w:id="399" w:name="_Toc7753"/>
      <w:bookmarkStart w:id="400" w:name="_Toc9341"/>
      <w:r>
        <w:rPr>
          <w:rFonts w:hint="eastAsia"/>
          <w:color w:val="auto"/>
          <w:highlight w:val="none"/>
          <w:lang w:val="en-US" w:eastAsia="zh-CN"/>
        </w:rPr>
        <w:t>9.2环境影响评价结论</w:t>
      </w:r>
      <w:bookmarkEnd w:id="393"/>
      <w:bookmarkEnd w:id="394"/>
      <w:bookmarkEnd w:id="395"/>
      <w:bookmarkEnd w:id="396"/>
      <w:bookmarkEnd w:id="397"/>
      <w:bookmarkEnd w:id="398"/>
      <w:bookmarkEnd w:id="399"/>
      <w:bookmarkEnd w:id="400"/>
    </w:p>
    <w:p>
      <w:pPr>
        <w:pStyle w:val="335"/>
        <w:spacing w:before="156" w:after="156"/>
        <w:rPr>
          <w:rFonts w:hint="eastAsia"/>
          <w:color w:val="auto"/>
          <w:highlight w:val="none"/>
        </w:rPr>
      </w:pPr>
      <w:r>
        <w:rPr>
          <w:rFonts w:hint="eastAsia"/>
          <w:color w:val="auto"/>
          <w:highlight w:val="none"/>
          <w:lang w:val="en-US" w:eastAsia="zh-CN"/>
        </w:rPr>
        <w:t>9</w:t>
      </w:r>
      <w:r>
        <w:rPr>
          <w:rFonts w:hint="eastAsia"/>
          <w:color w:val="auto"/>
          <w:highlight w:val="none"/>
        </w:rPr>
        <w:t>.2.1对环境的不利影响</w:t>
      </w:r>
    </w:p>
    <w:p>
      <w:pPr>
        <w:ind w:firstLine="480"/>
        <w:rPr>
          <w:rFonts w:hint="eastAsia"/>
          <w:color w:val="auto"/>
          <w:highlight w:val="none"/>
          <w:lang w:eastAsia="zh-CN"/>
        </w:rPr>
      </w:pPr>
      <w:r>
        <w:rPr>
          <w:rFonts w:hint="eastAsia"/>
          <w:color w:val="auto"/>
          <w:highlight w:val="none"/>
          <w:lang w:eastAsia="zh-CN"/>
        </w:rPr>
        <w:t>本工程施工过程中，清基、清淤，土石方的开挖，砂石料的填筑，砼的浇筑均会产生浑水和碱性废水排入河道。施工机械运行和维修时，油料的溢漏也会发生，若不能进行有效的控制，可能形成油污染。</w:t>
      </w:r>
    </w:p>
    <w:p>
      <w:pPr>
        <w:ind w:firstLine="480"/>
        <w:rPr>
          <w:rFonts w:hint="eastAsia"/>
          <w:color w:val="auto"/>
          <w:highlight w:val="none"/>
          <w:lang w:eastAsia="zh-CN"/>
        </w:rPr>
      </w:pPr>
      <w:r>
        <w:rPr>
          <w:rFonts w:hint="eastAsia"/>
          <w:color w:val="auto"/>
          <w:highlight w:val="none"/>
          <w:lang w:eastAsia="zh-CN"/>
        </w:rPr>
        <w:t>工程开工后，随着各类机械设备、生活附属设施的增加，以汽油为燃料的汽车和施工机械所排放的废气，会导致附近大气中二氧化碳、一氧化碳、二氧化硫、飘尘以及含铅量等指标的上升。此外，基础工程的施工和建筑材料的运输过程容易产生飘尘，对项目区的大气环境造成一定影响。</w:t>
      </w:r>
    </w:p>
    <w:p>
      <w:pPr>
        <w:ind w:firstLine="480"/>
        <w:rPr>
          <w:rFonts w:hint="eastAsia"/>
          <w:color w:val="auto"/>
          <w:highlight w:val="none"/>
          <w:lang w:eastAsia="zh-CN"/>
        </w:rPr>
      </w:pPr>
      <w:r>
        <w:rPr>
          <w:rFonts w:hint="eastAsia"/>
          <w:color w:val="auto"/>
          <w:highlight w:val="none"/>
          <w:lang w:eastAsia="zh-CN"/>
        </w:rPr>
        <w:t>工程施工过程中，施工机械的操作，人工砂石料的粉碎、筛分过程和砼搅拌机械的作业均会对周边村庄造成噪声污染。</w:t>
      </w:r>
    </w:p>
    <w:p>
      <w:pPr>
        <w:ind w:firstLine="480"/>
        <w:rPr>
          <w:rFonts w:hint="eastAsia"/>
          <w:color w:val="auto"/>
          <w:highlight w:val="none"/>
          <w:lang w:eastAsia="zh-CN"/>
        </w:rPr>
      </w:pPr>
      <w:r>
        <w:rPr>
          <w:rFonts w:hint="eastAsia"/>
          <w:color w:val="auto"/>
          <w:highlight w:val="none"/>
          <w:lang w:eastAsia="zh-CN"/>
        </w:rPr>
        <w:t>另外，工程施工期间，由于各种施工车辆频繁出现在各施工工区附近，这会对各施工工区附近的交通带来不便。</w:t>
      </w:r>
    </w:p>
    <w:p>
      <w:pPr>
        <w:ind w:firstLine="480"/>
        <w:rPr>
          <w:rFonts w:hint="eastAsia"/>
          <w:color w:val="auto"/>
          <w:highlight w:val="none"/>
          <w:lang w:eastAsia="zh-CN"/>
        </w:rPr>
      </w:pPr>
      <w:r>
        <w:rPr>
          <w:rFonts w:hint="eastAsia"/>
          <w:color w:val="auto"/>
          <w:highlight w:val="none"/>
          <w:lang w:eastAsia="zh-CN"/>
        </w:rPr>
        <w:t>总之，工程施工期间将给当地的工农业生产带来一定的负面影响；废水、废气及机械噪声会对周围环境造成一定污染，施工和料场的开挖均会破坏现有植被，造成水土流失；施工对附近的交通状况也会产生影响。但该工程对环境的不利影响主要体现在工程建设期，工程建成后对环境的不利影响将消失。</w:t>
      </w:r>
    </w:p>
    <w:p>
      <w:pPr>
        <w:ind w:firstLine="480"/>
        <w:rPr>
          <w:rFonts w:hint="eastAsia"/>
          <w:color w:val="auto"/>
          <w:highlight w:val="none"/>
          <w:lang w:eastAsia="zh-CN"/>
        </w:rPr>
      </w:pPr>
      <w:r>
        <w:rPr>
          <w:rFonts w:hint="eastAsia"/>
          <w:color w:val="auto"/>
          <w:highlight w:val="none"/>
          <w:lang w:eastAsia="zh-CN"/>
        </w:rPr>
        <w:t>工程实施后，将极大的改善区域内的社会环境和自然环境，可适应多种农作物的生产，实现农业生产的多样化，并可引进、推广绿色农业，减少农药、化肥的使用，达到改善区域生态环境的效果。</w:t>
      </w:r>
    </w:p>
    <w:p>
      <w:pPr>
        <w:ind w:firstLine="480"/>
        <w:rPr>
          <w:rFonts w:hint="eastAsia"/>
          <w:color w:val="auto"/>
          <w:highlight w:val="none"/>
          <w:lang w:eastAsia="zh-CN"/>
        </w:rPr>
      </w:pPr>
    </w:p>
    <w:p>
      <w:pPr>
        <w:pStyle w:val="335"/>
        <w:spacing w:before="156" w:after="156"/>
        <w:rPr>
          <w:rFonts w:hint="eastAsia"/>
          <w:color w:val="auto"/>
          <w:highlight w:val="none"/>
          <w:lang w:val="en-US" w:eastAsia="zh-CN"/>
        </w:rPr>
      </w:pPr>
      <w:r>
        <w:rPr>
          <w:rFonts w:hint="eastAsia"/>
          <w:color w:val="auto"/>
          <w:highlight w:val="none"/>
          <w:lang w:val="en-US" w:eastAsia="zh-CN"/>
        </w:rPr>
        <w:t>9.2.2对环境的有利影响</w:t>
      </w:r>
    </w:p>
    <w:p>
      <w:pPr>
        <w:ind w:firstLine="480"/>
        <w:rPr>
          <w:rFonts w:hint="eastAsia"/>
          <w:color w:val="auto"/>
          <w:highlight w:val="none"/>
          <w:lang w:eastAsia="zh-CN"/>
        </w:rPr>
      </w:pPr>
      <w:bookmarkStart w:id="401" w:name="OLE_LINK12"/>
      <w:r>
        <w:rPr>
          <w:rFonts w:hint="eastAsia"/>
          <w:color w:val="auto"/>
          <w:highlight w:val="none"/>
          <w:lang w:eastAsia="zh-CN"/>
        </w:rPr>
        <w:t>本工程完工后，将保证沿线各乡镇的排洪安全及农业灌溉用水，使农业土地资源得到更充分的利用，对于促进当地的经济稳定发展起到保障作用，产生显著的经济效益和社会效益。工程施工期将对局部地区的生态系统以及项目区周边的大气和声环境质量产生一定的不利影响，但这些影响是局部而短暂的，采取一定措施可以减缓或消除。因此，从环境的角度评价，没有制约工程建设的因素。</w:t>
      </w:r>
    </w:p>
    <w:bookmarkEnd w:id="401"/>
    <w:p>
      <w:pPr>
        <w:pStyle w:val="3"/>
        <w:ind w:left="0" w:leftChars="0" w:firstLine="0" w:firstLineChars="0"/>
        <w:rPr>
          <w:rFonts w:hint="eastAsia"/>
          <w:color w:val="auto"/>
          <w:highlight w:val="none"/>
          <w:lang w:val="en-US" w:eastAsia="zh-CN"/>
        </w:rPr>
      </w:pPr>
      <w:bookmarkStart w:id="402" w:name="_Toc468798808"/>
      <w:bookmarkStart w:id="403" w:name="_Toc19628"/>
      <w:bookmarkStart w:id="404" w:name="_Toc21078"/>
      <w:bookmarkStart w:id="405" w:name="_Toc469038303"/>
      <w:bookmarkStart w:id="406" w:name="_Toc28520"/>
      <w:bookmarkStart w:id="407" w:name="_Toc21767"/>
      <w:bookmarkStart w:id="408" w:name="_Toc467768647"/>
      <w:bookmarkStart w:id="409" w:name="_Toc30808"/>
      <w:r>
        <w:rPr>
          <w:rFonts w:hint="eastAsia"/>
          <w:color w:val="auto"/>
          <w:highlight w:val="none"/>
          <w:lang w:val="en-US" w:eastAsia="zh-CN"/>
        </w:rPr>
        <w:t>9.3环境保护措施</w:t>
      </w:r>
      <w:bookmarkEnd w:id="402"/>
      <w:bookmarkEnd w:id="403"/>
      <w:bookmarkEnd w:id="404"/>
      <w:bookmarkEnd w:id="405"/>
      <w:bookmarkEnd w:id="406"/>
      <w:bookmarkEnd w:id="407"/>
      <w:bookmarkEnd w:id="408"/>
      <w:bookmarkEnd w:id="409"/>
    </w:p>
    <w:p>
      <w:pPr>
        <w:pStyle w:val="335"/>
        <w:spacing w:before="156" w:after="156"/>
        <w:rPr>
          <w:rFonts w:hint="eastAsia"/>
          <w:color w:val="auto"/>
          <w:highlight w:val="none"/>
          <w:lang w:val="en-US" w:eastAsia="zh-CN"/>
        </w:rPr>
      </w:pPr>
      <w:r>
        <w:rPr>
          <w:rFonts w:hint="eastAsia"/>
          <w:color w:val="auto"/>
          <w:highlight w:val="none"/>
          <w:lang w:val="en-US" w:eastAsia="zh-CN"/>
        </w:rPr>
        <w:t>9.3.1水环境保护措施</w:t>
      </w:r>
    </w:p>
    <w:p>
      <w:pPr>
        <w:ind w:firstLine="480"/>
        <w:rPr>
          <w:rFonts w:hint="eastAsia"/>
          <w:color w:val="auto"/>
          <w:highlight w:val="none"/>
          <w:lang w:eastAsia="zh-CN"/>
        </w:rPr>
      </w:pPr>
      <w:r>
        <w:rPr>
          <w:rFonts w:hint="eastAsia"/>
          <w:color w:val="auto"/>
          <w:highlight w:val="none"/>
          <w:lang w:eastAsia="zh-CN"/>
        </w:rPr>
        <w:t>（1）施工场地的生活污水要收集起来进行处理，采用小型生活污水一体化处理装置进行处理，达到一级排放标准后排放，或集中收集，无害化处理和进行农用。</w:t>
      </w:r>
    </w:p>
    <w:p>
      <w:pPr>
        <w:ind w:firstLine="480"/>
        <w:rPr>
          <w:rFonts w:hint="eastAsia"/>
          <w:color w:val="auto"/>
          <w:highlight w:val="none"/>
          <w:lang w:eastAsia="zh-CN"/>
        </w:rPr>
      </w:pPr>
      <w:r>
        <w:rPr>
          <w:rFonts w:hint="eastAsia"/>
          <w:color w:val="auto"/>
          <w:highlight w:val="none"/>
          <w:lang w:eastAsia="zh-CN"/>
        </w:rPr>
        <w:t>（2）搅拌机前台、运输车辆清洗处应当设置沉淀池，废水不得直接排入河道中，经二次沉淀后循环使用或用于洒水降尘。</w:t>
      </w:r>
    </w:p>
    <w:p>
      <w:pPr>
        <w:ind w:firstLine="480"/>
        <w:rPr>
          <w:rFonts w:hint="eastAsia"/>
          <w:color w:val="auto"/>
          <w:highlight w:val="none"/>
          <w:lang w:eastAsia="zh-CN"/>
        </w:rPr>
      </w:pPr>
      <w:r>
        <w:rPr>
          <w:rFonts w:hint="eastAsia"/>
          <w:color w:val="auto"/>
          <w:highlight w:val="none"/>
          <w:lang w:eastAsia="zh-CN"/>
        </w:rPr>
        <w:t>（3）现场存放油料，必须对库房进行防渗漏处理，储存和使用都要采取措施，防止油料泄漏，污染土壤、水体。</w:t>
      </w:r>
    </w:p>
    <w:p>
      <w:pPr>
        <w:ind w:firstLine="480"/>
        <w:rPr>
          <w:rFonts w:hint="eastAsia"/>
          <w:color w:val="auto"/>
          <w:highlight w:val="none"/>
          <w:lang w:eastAsia="zh-CN"/>
        </w:rPr>
      </w:pPr>
      <w:r>
        <w:rPr>
          <w:rFonts w:hint="eastAsia"/>
          <w:color w:val="auto"/>
          <w:highlight w:val="none"/>
          <w:lang w:eastAsia="zh-CN"/>
        </w:rPr>
        <w:t>（4）施工场地撒落的物料要及时清扫，物料堆放要采取防雨水冲刷和淋溶措施，免被冲入河道，污染水体。</w:t>
      </w:r>
    </w:p>
    <w:p>
      <w:pPr>
        <w:pStyle w:val="335"/>
        <w:spacing w:before="156" w:after="156"/>
        <w:rPr>
          <w:rFonts w:hint="eastAsia"/>
          <w:color w:val="auto"/>
          <w:highlight w:val="none"/>
          <w:lang w:val="en-US" w:eastAsia="zh-CN"/>
        </w:rPr>
      </w:pPr>
      <w:r>
        <w:rPr>
          <w:rFonts w:hint="eastAsia"/>
          <w:color w:val="auto"/>
          <w:highlight w:val="none"/>
          <w:lang w:val="en-US" w:eastAsia="zh-CN"/>
        </w:rPr>
        <w:t>9.3.2大气污染防治措施</w:t>
      </w:r>
    </w:p>
    <w:p>
      <w:pPr>
        <w:ind w:firstLine="480"/>
        <w:rPr>
          <w:rFonts w:hint="eastAsia"/>
          <w:color w:val="auto"/>
          <w:highlight w:val="none"/>
          <w:lang w:eastAsia="zh-CN"/>
        </w:rPr>
      </w:pPr>
      <w:r>
        <w:rPr>
          <w:rFonts w:hint="eastAsia"/>
          <w:color w:val="auto"/>
          <w:highlight w:val="none"/>
          <w:lang w:eastAsia="zh-CN"/>
        </w:rPr>
        <w:t>（1）粉尘污染防治措施。应加强管理，文明施工，建筑材料轻装轻卸，严格执行清洁生产要求；车辆出工地前应尽可能清除表面粘附的泥土等；运输石灰、砂石料、水泥粉煤灰等易产生扬尘的车辆上应覆盖布或者用密闭式运输车辆。遇到4级以上大风天气应停止一切土方施工并处理好工作面。</w:t>
      </w:r>
    </w:p>
    <w:p>
      <w:pPr>
        <w:ind w:firstLine="480"/>
        <w:rPr>
          <w:rFonts w:hint="eastAsia"/>
          <w:color w:val="auto"/>
          <w:highlight w:val="none"/>
          <w:lang w:eastAsia="zh-CN"/>
        </w:rPr>
      </w:pPr>
      <w:r>
        <w:rPr>
          <w:rFonts w:hint="eastAsia"/>
          <w:color w:val="auto"/>
          <w:highlight w:val="none"/>
          <w:lang w:eastAsia="zh-CN"/>
        </w:rPr>
        <w:t>（2）异味清除措施。清淤过程应尽可能安排在冬季早春气温较低的季节进行，清除淤泥应及时运送到弃渣场进行掩埋处理。污泥转动应尽可能密闭输送，防止沿途散落，影响市容景观。</w:t>
      </w:r>
    </w:p>
    <w:p>
      <w:pPr>
        <w:ind w:firstLine="480"/>
        <w:rPr>
          <w:rFonts w:hint="eastAsia"/>
          <w:color w:val="auto"/>
          <w:highlight w:val="none"/>
          <w:lang w:eastAsia="zh-CN"/>
        </w:rPr>
      </w:pPr>
      <w:r>
        <w:rPr>
          <w:rFonts w:hint="eastAsia"/>
          <w:color w:val="auto"/>
          <w:highlight w:val="none"/>
          <w:lang w:eastAsia="zh-CN"/>
        </w:rPr>
        <w:t>（3）汽车尾气防治措施。所有运输、施工车辆必须符合当地车辆尾气排放标准，能使用电力的机械尽量使用电力。</w:t>
      </w:r>
    </w:p>
    <w:p>
      <w:pPr>
        <w:pStyle w:val="335"/>
        <w:spacing w:before="156" w:after="156"/>
        <w:rPr>
          <w:rFonts w:hint="eastAsia"/>
          <w:color w:val="auto"/>
          <w:highlight w:val="none"/>
          <w:lang w:val="en-US" w:eastAsia="zh-CN"/>
        </w:rPr>
      </w:pPr>
      <w:r>
        <w:rPr>
          <w:rFonts w:hint="eastAsia"/>
          <w:color w:val="auto"/>
          <w:highlight w:val="none"/>
          <w:lang w:val="en-US" w:eastAsia="zh-CN"/>
        </w:rPr>
        <w:t>9.3.3固废污染防治措施</w:t>
      </w:r>
    </w:p>
    <w:p>
      <w:pPr>
        <w:ind w:firstLine="480"/>
        <w:rPr>
          <w:rFonts w:hint="eastAsia"/>
          <w:color w:val="auto"/>
          <w:highlight w:val="none"/>
          <w:lang w:eastAsia="zh-CN"/>
        </w:rPr>
      </w:pPr>
      <w:r>
        <w:rPr>
          <w:rFonts w:hint="eastAsia"/>
          <w:color w:val="auto"/>
          <w:highlight w:val="none"/>
          <w:lang w:eastAsia="zh-CN"/>
        </w:rPr>
        <w:t>施工期间，产生固废的主要有两个方面。一是受污底泥及工程附近堆放的垃圾，一是施工人员的生活垃圾及少量的生产垃圾。</w:t>
      </w:r>
    </w:p>
    <w:p>
      <w:pPr>
        <w:ind w:firstLine="480"/>
        <w:rPr>
          <w:rFonts w:hint="eastAsia"/>
          <w:color w:val="auto"/>
          <w:highlight w:val="none"/>
          <w:lang w:eastAsia="zh-CN"/>
        </w:rPr>
      </w:pPr>
      <w:r>
        <w:rPr>
          <w:rFonts w:hint="eastAsia"/>
          <w:color w:val="auto"/>
          <w:highlight w:val="none"/>
          <w:lang w:eastAsia="zh-CN"/>
        </w:rPr>
        <w:t>（1）底泥污染防治措施</w:t>
      </w:r>
    </w:p>
    <w:p>
      <w:pPr>
        <w:ind w:firstLine="480"/>
        <w:rPr>
          <w:rFonts w:hint="eastAsia"/>
          <w:color w:val="auto"/>
          <w:highlight w:val="none"/>
          <w:lang w:eastAsia="zh-CN"/>
        </w:rPr>
      </w:pPr>
      <w:r>
        <w:rPr>
          <w:rFonts w:hint="eastAsia"/>
          <w:color w:val="auto"/>
          <w:highlight w:val="none"/>
          <w:lang w:eastAsia="zh-CN"/>
        </w:rPr>
        <w:t>1）将清淤底泥与开挖原状土区分开来，先清淤、再挖土。</w:t>
      </w:r>
    </w:p>
    <w:p>
      <w:pPr>
        <w:ind w:firstLine="480"/>
        <w:rPr>
          <w:rFonts w:hint="eastAsia"/>
          <w:color w:val="auto"/>
          <w:highlight w:val="none"/>
          <w:lang w:eastAsia="zh-CN"/>
        </w:rPr>
      </w:pPr>
      <w:r>
        <w:rPr>
          <w:rFonts w:hint="eastAsia"/>
          <w:color w:val="auto"/>
          <w:highlight w:val="none"/>
          <w:lang w:eastAsia="zh-CN"/>
        </w:rPr>
        <w:t>2）底泥外用运输必须采用密闭运输车，防止沿途撒落，影响景观、卫生。</w:t>
      </w:r>
    </w:p>
    <w:p>
      <w:pPr>
        <w:ind w:firstLine="480"/>
        <w:rPr>
          <w:rFonts w:hint="eastAsia"/>
          <w:color w:val="auto"/>
          <w:highlight w:val="none"/>
          <w:lang w:eastAsia="zh-CN"/>
        </w:rPr>
      </w:pPr>
      <w:r>
        <w:rPr>
          <w:rFonts w:hint="eastAsia"/>
          <w:color w:val="auto"/>
          <w:highlight w:val="none"/>
          <w:lang w:eastAsia="zh-CN"/>
        </w:rPr>
        <w:t>3）底泥堆放时，要做好渣场的防渗处理工作，确保底泥不会对地下水的影响。</w:t>
      </w:r>
    </w:p>
    <w:p>
      <w:pPr>
        <w:ind w:firstLine="480"/>
        <w:rPr>
          <w:rFonts w:hint="eastAsia"/>
          <w:color w:val="auto"/>
          <w:highlight w:val="none"/>
          <w:lang w:eastAsia="zh-CN"/>
        </w:rPr>
      </w:pPr>
      <w:r>
        <w:rPr>
          <w:rFonts w:hint="eastAsia"/>
          <w:color w:val="auto"/>
          <w:highlight w:val="none"/>
          <w:lang w:eastAsia="zh-CN"/>
        </w:rPr>
        <w:t>4）底泥外运农业或河岸绿化使用时，应控制每亩地的使用量，并均匀铺放在土地里。</w:t>
      </w:r>
    </w:p>
    <w:p>
      <w:pPr>
        <w:ind w:firstLine="480"/>
        <w:rPr>
          <w:rFonts w:hint="eastAsia"/>
          <w:color w:val="auto"/>
          <w:highlight w:val="none"/>
          <w:lang w:eastAsia="zh-CN"/>
        </w:rPr>
      </w:pPr>
      <w:r>
        <w:rPr>
          <w:rFonts w:hint="eastAsia"/>
          <w:color w:val="auto"/>
          <w:highlight w:val="none"/>
          <w:lang w:eastAsia="zh-CN"/>
        </w:rPr>
        <w:t>（2）其它固体废物污染防治措施</w:t>
      </w:r>
    </w:p>
    <w:p>
      <w:pPr>
        <w:ind w:firstLine="480"/>
        <w:rPr>
          <w:rFonts w:hint="eastAsia"/>
          <w:color w:val="auto"/>
          <w:highlight w:val="none"/>
          <w:lang w:eastAsia="zh-CN"/>
        </w:rPr>
      </w:pPr>
      <w:r>
        <w:rPr>
          <w:rFonts w:hint="eastAsia"/>
          <w:color w:val="auto"/>
          <w:highlight w:val="none"/>
          <w:lang w:eastAsia="zh-CN"/>
        </w:rPr>
        <w:t>1）施工垃圾清运必须采用封闭式容器吊运，严禁凌空抛散。施工现场应设密闭式垃圾站，施工垃圾、生活垃圾分类存放。</w:t>
      </w:r>
    </w:p>
    <w:p>
      <w:pPr>
        <w:ind w:firstLine="480"/>
        <w:rPr>
          <w:rFonts w:hint="eastAsia"/>
          <w:color w:val="auto"/>
          <w:highlight w:val="none"/>
          <w:lang w:eastAsia="zh-CN"/>
        </w:rPr>
      </w:pPr>
      <w:r>
        <w:rPr>
          <w:rFonts w:hint="eastAsia"/>
          <w:color w:val="auto"/>
          <w:highlight w:val="none"/>
          <w:lang w:eastAsia="zh-CN"/>
        </w:rPr>
        <w:t>2）建筑垃圾，施工遗弃的沙石、建材、钢材、包装材料等应由专人管理回收，及时清洁工作面。</w:t>
      </w:r>
    </w:p>
    <w:p>
      <w:pPr>
        <w:ind w:firstLine="480"/>
        <w:rPr>
          <w:rFonts w:hint="eastAsia"/>
          <w:color w:val="auto"/>
          <w:highlight w:val="none"/>
          <w:lang w:eastAsia="zh-CN"/>
        </w:rPr>
      </w:pPr>
      <w:r>
        <w:rPr>
          <w:rFonts w:hint="eastAsia"/>
          <w:color w:val="auto"/>
          <w:highlight w:val="none"/>
          <w:lang w:eastAsia="zh-CN"/>
        </w:rPr>
        <w:t>3）生活垃圾，施工人员的生活垃圾要集中收集，并及时统一清运至垃圾场。</w:t>
      </w:r>
    </w:p>
    <w:p>
      <w:pPr>
        <w:pStyle w:val="335"/>
        <w:spacing w:before="156" w:after="156"/>
        <w:rPr>
          <w:rFonts w:hint="eastAsia"/>
          <w:color w:val="auto"/>
          <w:highlight w:val="none"/>
          <w:lang w:val="en-US" w:eastAsia="zh-CN"/>
        </w:rPr>
      </w:pPr>
      <w:r>
        <w:rPr>
          <w:rFonts w:hint="eastAsia"/>
          <w:color w:val="auto"/>
          <w:highlight w:val="none"/>
          <w:lang w:val="en-US" w:eastAsia="zh-CN"/>
        </w:rPr>
        <w:t>9.3.4噪声及卫生防疫措施</w:t>
      </w:r>
    </w:p>
    <w:p>
      <w:pPr>
        <w:ind w:firstLine="480"/>
        <w:rPr>
          <w:rFonts w:hint="eastAsia"/>
          <w:color w:val="auto"/>
          <w:highlight w:val="none"/>
          <w:lang w:eastAsia="zh-CN"/>
        </w:rPr>
      </w:pPr>
      <w:r>
        <w:rPr>
          <w:rFonts w:hint="eastAsia"/>
          <w:color w:val="auto"/>
          <w:highlight w:val="none"/>
          <w:lang w:eastAsia="zh-CN"/>
        </w:rPr>
        <w:t>施工过程中，机械等产生的噪声，直接危害施工人员的健康，对周围居民的生活也会产生一定影响。对于此类影响可以采取相应的隔音措施，对设备机械进行降噪处理，对于距离居民点较近的施工区域，可采取隔音墙围挡的方式降噪，施工时段可以作适当调整，夜间少施工、或者不施工的施工方式降低噪声影响。</w:t>
      </w:r>
    </w:p>
    <w:p>
      <w:pPr>
        <w:ind w:firstLine="480"/>
        <w:rPr>
          <w:rFonts w:hint="eastAsia"/>
          <w:color w:val="auto"/>
          <w:highlight w:val="none"/>
          <w:lang w:eastAsia="zh-CN"/>
        </w:rPr>
      </w:pPr>
      <w:r>
        <w:rPr>
          <w:rFonts w:hint="eastAsia"/>
          <w:color w:val="auto"/>
          <w:highlight w:val="none"/>
          <w:lang w:eastAsia="zh-CN"/>
        </w:rPr>
        <w:t>对于施工生活区，必须做好卫生防疫，进行定期体检，对于施工人员的居住区，进行必要的消毒、灭鼠等工作。</w:t>
      </w:r>
    </w:p>
    <w:p>
      <w:pPr>
        <w:pStyle w:val="335"/>
        <w:spacing w:before="156" w:after="156"/>
        <w:rPr>
          <w:rFonts w:hint="eastAsia"/>
          <w:color w:val="auto"/>
          <w:highlight w:val="none"/>
          <w:lang w:val="en-US" w:eastAsia="zh-CN"/>
        </w:rPr>
      </w:pPr>
      <w:r>
        <w:rPr>
          <w:rFonts w:hint="eastAsia"/>
          <w:color w:val="auto"/>
          <w:highlight w:val="none"/>
          <w:lang w:val="en-US" w:eastAsia="zh-CN"/>
        </w:rPr>
        <w:t>9.3.5生态环境保护措施</w:t>
      </w:r>
    </w:p>
    <w:p>
      <w:pPr>
        <w:ind w:firstLine="480"/>
        <w:rPr>
          <w:rFonts w:hint="eastAsia"/>
          <w:color w:val="auto"/>
          <w:highlight w:val="none"/>
        </w:rPr>
      </w:pPr>
      <w:r>
        <w:rPr>
          <w:rFonts w:hint="eastAsia"/>
          <w:color w:val="auto"/>
          <w:highlight w:val="none"/>
          <w:lang w:eastAsia="zh-CN"/>
        </w:rPr>
        <w:t>在施工过程中落实各种水工保持措施，从而有效地减少水土流失量。工程项目整治后的护坡应考虑绿化，应与网箱合理组合，护坡绿化要与岸上绿化带共同构成生态廓道。</w:t>
      </w:r>
    </w:p>
    <w:p>
      <w:pPr>
        <w:ind w:firstLine="480"/>
        <w:rPr>
          <w:color w:val="auto"/>
          <w:highlight w:val="none"/>
        </w:rPr>
      </w:pPr>
      <w:r>
        <w:rPr>
          <w:rFonts w:hint="eastAsia"/>
          <w:color w:val="auto"/>
          <w:highlight w:val="none"/>
        </w:rPr>
        <w:br w:type="page"/>
      </w:r>
    </w:p>
    <w:p>
      <w:pPr>
        <w:pStyle w:val="2"/>
        <w:keepNext w:val="0"/>
        <w:keepLines w:val="0"/>
        <w:pageBreakBefore/>
        <w:spacing w:before="156" w:beforeLines="50" w:after="156" w:afterLines="50" w:line="360" w:lineRule="auto"/>
        <w:ind w:firstLine="640"/>
        <w:rPr>
          <w:b/>
          <w:color w:val="auto"/>
          <w:szCs w:val="32"/>
          <w:highlight w:val="none"/>
        </w:rPr>
      </w:pPr>
      <w:bookmarkStart w:id="410" w:name="_Toc404766600"/>
      <w:bookmarkStart w:id="411" w:name="_Toc536295205"/>
      <w:bookmarkStart w:id="412" w:name="_Toc10726"/>
      <w:r>
        <w:rPr>
          <w:rFonts w:hint="eastAsia"/>
          <w:color w:val="auto"/>
          <w:szCs w:val="32"/>
          <w:highlight w:val="none"/>
          <w:lang w:val="en-US" w:eastAsia="zh-CN"/>
        </w:rPr>
        <w:t>10</w:t>
      </w:r>
      <w:r>
        <w:rPr>
          <w:rFonts w:hint="eastAsia"/>
          <w:color w:val="auto"/>
          <w:szCs w:val="32"/>
          <w:highlight w:val="none"/>
        </w:rPr>
        <w:t xml:space="preserve">  水土保持</w:t>
      </w:r>
      <w:bookmarkEnd w:id="410"/>
      <w:bookmarkEnd w:id="411"/>
      <w:r>
        <w:rPr>
          <w:rFonts w:hint="eastAsia"/>
          <w:b/>
          <w:color w:val="auto"/>
          <w:szCs w:val="32"/>
          <w:highlight w:val="none"/>
        </w:rPr>
        <w:t>设计</w:t>
      </w:r>
      <w:bookmarkEnd w:id="412"/>
    </w:p>
    <w:p>
      <w:pPr>
        <w:pStyle w:val="3"/>
        <w:ind w:left="0" w:leftChars="0" w:firstLine="0" w:firstLineChars="0"/>
        <w:rPr>
          <w:rFonts w:hint="eastAsia"/>
          <w:color w:val="auto"/>
          <w:highlight w:val="none"/>
          <w:lang w:val="en-US" w:eastAsia="zh-CN"/>
        </w:rPr>
      </w:pPr>
      <w:bookmarkStart w:id="413" w:name="_Toc468798810"/>
      <w:bookmarkStart w:id="414" w:name="_Toc137"/>
      <w:bookmarkStart w:id="415" w:name="_Toc5872"/>
      <w:bookmarkStart w:id="416" w:name="_Toc467768649"/>
      <w:bookmarkStart w:id="417" w:name="_Toc469038305"/>
      <w:bookmarkStart w:id="418" w:name="_Toc15592"/>
      <w:bookmarkStart w:id="419" w:name="_Toc28979"/>
      <w:bookmarkStart w:id="420" w:name="_Toc8906"/>
      <w:r>
        <w:rPr>
          <w:rFonts w:hint="eastAsia"/>
          <w:color w:val="auto"/>
          <w:highlight w:val="none"/>
          <w:lang w:val="en-US" w:eastAsia="zh-CN"/>
        </w:rPr>
        <w:t>10.1设计依据</w:t>
      </w:r>
      <w:bookmarkEnd w:id="413"/>
      <w:bookmarkEnd w:id="414"/>
      <w:bookmarkEnd w:id="415"/>
      <w:bookmarkEnd w:id="416"/>
      <w:bookmarkEnd w:id="417"/>
      <w:bookmarkEnd w:id="418"/>
      <w:bookmarkEnd w:id="419"/>
      <w:bookmarkEnd w:id="420"/>
    </w:p>
    <w:p>
      <w:pPr>
        <w:ind w:firstLine="480"/>
        <w:rPr>
          <w:rFonts w:hint="eastAsia"/>
          <w:color w:val="auto"/>
          <w:highlight w:val="none"/>
          <w:lang w:eastAsia="zh-CN"/>
        </w:rPr>
      </w:pPr>
      <w:r>
        <w:rPr>
          <w:rFonts w:hint="eastAsia"/>
          <w:color w:val="auto"/>
          <w:highlight w:val="none"/>
          <w:lang w:eastAsia="zh-CN"/>
        </w:rPr>
        <w:t>（1）《中华人民共和国水土保持法》</w:t>
      </w:r>
    </w:p>
    <w:p>
      <w:pPr>
        <w:ind w:firstLine="480"/>
        <w:rPr>
          <w:rFonts w:hint="eastAsia"/>
          <w:color w:val="auto"/>
          <w:highlight w:val="none"/>
          <w:lang w:eastAsia="zh-CN"/>
        </w:rPr>
      </w:pPr>
      <w:r>
        <w:rPr>
          <w:rFonts w:hint="eastAsia"/>
          <w:color w:val="auto"/>
          <w:highlight w:val="none"/>
          <w:lang w:eastAsia="zh-CN"/>
        </w:rPr>
        <w:t>（2）《中华人民共和国水土保持法实施条例》</w:t>
      </w:r>
    </w:p>
    <w:p>
      <w:pPr>
        <w:ind w:firstLine="480"/>
        <w:rPr>
          <w:rFonts w:hint="eastAsia"/>
          <w:color w:val="auto"/>
          <w:highlight w:val="none"/>
          <w:lang w:eastAsia="zh-CN"/>
        </w:rPr>
      </w:pPr>
      <w:r>
        <w:rPr>
          <w:rFonts w:hint="eastAsia"/>
          <w:color w:val="auto"/>
          <w:highlight w:val="none"/>
          <w:lang w:eastAsia="zh-CN"/>
        </w:rPr>
        <w:t>（3）《开发建设项目水土保持方案管理办法》</w:t>
      </w:r>
    </w:p>
    <w:p>
      <w:pPr>
        <w:ind w:firstLine="480"/>
        <w:rPr>
          <w:rFonts w:hint="eastAsia"/>
          <w:color w:val="auto"/>
          <w:highlight w:val="none"/>
          <w:lang w:eastAsia="zh-CN"/>
        </w:rPr>
      </w:pPr>
      <w:r>
        <w:rPr>
          <w:rFonts w:hint="eastAsia"/>
          <w:color w:val="auto"/>
          <w:highlight w:val="none"/>
          <w:lang w:eastAsia="zh-CN"/>
        </w:rPr>
        <w:t>（4）《广东省水土保持补偿费征用和使用管理暂行规定》</w:t>
      </w:r>
    </w:p>
    <w:p>
      <w:pPr>
        <w:ind w:firstLine="480"/>
        <w:rPr>
          <w:rFonts w:hint="eastAsia"/>
          <w:color w:val="auto"/>
          <w:highlight w:val="none"/>
          <w:lang w:eastAsia="zh-CN"/>
        </w:rPr>
      </w:pPr>
      <w:r>
        <w:rPr>
          <w:rFonts w:hint="eastAsia"/>
          <w:color w:val="auto"/>
          <w:highlight w:val="none"/>
          <w:lang w:eastAsia="zh-CN"/>
        </w:rPr>
        <w:t>（5）《水土保持生态环境监测网络管理办法》</w:t>
      </w:r>
    </w:p>
    <w:p>
      <w:pPr>
        <w:ind w:firstLine="480"/>
        <w:rPr>
          <w:rFonts w:hint="eastAsia"/>
          <w:color w:val="auto"/>
          <w:highlight w:val="none"/>
          <w:lang w:eastAsia="zh-CN"/>
        </w:rPr>
      </w:pPr>
      <w:r>
        <w:rPr>
          <w:rFonts w:hint="eastAsia"/>
          <w:color w:val="auto"/>
          <w:highlight w:val="none"/>
          <w:lang w:eastAsia="zh-CN"/>
        </w:rPr>
        <w:t>（6）《水土保持综合治理技术规范》</w:t>
      </w:r>
    </w:p>
    <w:p>
      <w:pPr>
        <w:pStyle w:val="3"/>
        <w:ind w:left="0" w:leftChars="0" w:firstLine="0" w:firstLineChars="0"/>
        <w:rPr>
          <w:rFonts w:hint="eastAsia"/>
          <w:color w:val="auto"/>
          <w:highlight w:val="none"/>
          <w:lang w:val="en-US" w:eastAsia="zh-CN"/>
        </w:rPr>
      </w:pPr>
      <w:bookmarkStart w:id="421" w:name="_Toc469038306"/>
      <w:bookmarkStart w:id="422" w:name="_Toc32029"/>
      <w:bookmarkStart w:id="423" w:name="_Toc15375"/>
      <w:bookmarkStart w:id="424" w:name="_Toc467768650"/>
      <w:bookmarkStart w:id="425" w:name="_Toc9201"/>
      <w:bookmarkStart w:id="426" w:name="_Toc468798811"/>
      <w:bookmarkStart w:id="427" w:name="_Toc25412"/>
      <w:bookmarkStart w:id="428" w:name="_Toc4258"/>
      <w:r>
        <w:rPr>
          <w:rFonts w:hint="eastAsia"/>
          <w:color w:val="auto"/>
          <w:highlight w:val="none"/>
          <w:lang w:val="en-US" w:eastAsia="zh-CN"/>
        </w:rPr>
        <w:t>10.2水土流失现状</w:t>
      </w:r>
      <w:bookmarkEnd w:id="421"/>
      <w:bookmarkEnd w:id="422"/>
      <w:bookmarkEnd w:id="423"/>
      <w:bookmarkEnd w:id="424"/>
      <w:bookmarkEnd w:id="425"/>
      <w:bookmarkEnd w:id="426"/>
      <w:bookmarkEnd w:id="427"/>
      <w:bookmarkEnd w:id="428"/>
    </w:p>
    <w:p>
      <w:pPr>
        <w:ind w:firstLine="480"/>
        <w:rPr>
          <w:rFonts w:hint="eastAsia"/>
          <w:color w:val="auto"/>
          <w:highlight w:val="none"/>
        </w:rPr>
      </w:pPr>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渠道进行三面光改造，改造起点位于温泉镇桃莲村委后（桩号0+000），距离干渠渠首约5.5km，终点位于从莞深高速公路穿路箱涵进水口（桩号1+207），改造总长1207m。主要建设内容是对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渠道进行三面光改造，改造总长为</w:t>
      </w:r>
      <w:r>
        <w:rPr>
          <w:rFonts w:hint="eastAsia"/>
          <w:b w:val="0"/>
          <w:bCs/>
          <w:color w:val="auto"/>
          <w:highlight w:val="none"/>
          <w:lang w:val="en-US" w:eastAsia="zh-CN"/>
        </w:rPr>
        <w:t>1207m，主要建筑物包括新建浆砌石渠道1207m，新建泄洪闸1座，拆除重建泄洪闸2座，拆除重建机耕桥2座，拆除重建人行桥5座，新建钢筋砼溢流面板1168m²等。</w:t>
      </w:r>
    </w:p>
    <w:p>
      <w:pPr>
        <w:ind w:firstLine="480"/>
        <w:rPr>
          <w:rFonts w:hint="eastAsia"/>
          <w:color w:val="auto"/>
          <w:highlight w:val="none"/>
          <w:lang w:eastAsia="zh-CN"/>
        </w:rPr>
      </w:pPr>
      <w:r>
        <w:rPr>
          <w:rFonts w:hint="eastAsia"/>
          <w:color w:val="auto"/>
          <w:highlight w:val="none"/>
          <w:lang w:eastAsia="zh-CN"/>
        </w:rPr>
        <w:t>本区水土流失主要为坡面开荒种地，破坏植被，造成坡面受雨水冲刷，带走坡面土壤。</w:t>
      </w:r>
    </w:p>
    <w:p>
      <w:pPr>
        <w:pStyle w:val="3"/>
        <w:ind w:left="0" w:leftChars="0" w:firstLine="0" w:firstLineChars="0"/>
        <w:rPr>
          <w:rFonts w:hint="eastAsia"/>
          <w:color w:val="auto"/>
          <w:highlight w:val="none"/>
          <w:lang w:val="en-US" w:eastAsia="zh-CN"/>
        </w:rPr>
      </w:pPr>
      <w:bookmarkStart w:id="429" w:name="_Toc468798812"/>
      <w:bookmarkStart w:id="430" w:name="_Toc20569"/>
      <w:bookmarkStart w:id="431" w:name="_Toc20459"/>
      <w:bookmarkStart w:id="432" w:name="_Toc10737"/>
      <w:bookmarkStart w:id="433" w:name="_Toc19281"/>
      <w:bookmarkStart w:id="434" w:name="_Toc467768651"/>
      <w:bookmarkStart w:id="435" w:name="_Toc469038307"/>
      <w:bookmarkStart w:id="436" w:name="_Toc31230"/>
      <w:r>
        <w:rPr>
          <w:rFonts w:hint="eastAsia"/>
          <w:color w:val="auto"/>
          <w:highlight w:val="none"/>
          <w:lang w:val="en-US" w:eastAsia="zh-CN"/>
        </w:rPr>
        <w:t>10.3水土流失预测</w:t>
      </w:r>
      <w:bookmarkEnd w:id="429"/>
      <w:bookmarkEnd w:id="430"/>
      <w:bookmarkEnd w:id="431"/>
      <w:bookmarkEnd w:id="432"/>
      <w:bookmarkEnd w:id="433"/>
      <w:bookmarkEnd w:id="434"/>
      <w:bookmarkEnd w:id="435"/>
      <w:bookmarkEnd w:id="436"/>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本工程各施工项目均会不同程度地扰动原地貌，损坏土地和植被，各个项目对水土流失的影响以土石开挖、土石方填筑及弃渣、料场开采为主，但由于本工程规模较小，其影响亦较小。</w:t>
      </w:r>
    </w:p>
    <w:p>
      <w:pPr>
        <w:pStyle w:val="3"/>
        <w:ind w:left="0" w:leftChars="0" w:firstLine="0" w:firstLineChars="0"/>
        <w:rPr>
          <w:rFonts w:hint="eastAsia"/>
          <w:color w:val="auto"/>
          <w:highlight w:val="none"/>
          <w:lang w:val="en-US" w:eastAsia="zh-CN"/>
        </w:rPr>
      </w:pPr>
      <w:bookmarkStart w:id="437" w:name="_Toc26335"/>
      <w:bookmarkStart w:id="438" w:name="_Toc468798813"/>
      <w:bookmarkStart w:id="439" w:name="_Toc8232"/>
      <w:bookmarkStart w:id="440" w:name="_Toc467768652"/>
      <w:bookmarkStart w:id="441" w:name="_Toc31197"/>
      <w:bookmarkStart w:id="442" w:name="_Toc13776"/>
      <w:bookmarkStart w:id="443" w:name="_Toc469038308"/>
      <w:bookmarkStart w:id="444" w:name="_Toc12273"/>
      <w:r>
        <w:rPr>
          <w:rFonts w:hint="eastAsia"/>
          <w:color w:val="auto"/>
          <w:highlight w:val="none"/>
          <w:lang w:val="en-US" w:eastAsia="zh-CN"/>
        </w:rPr>
        <w:t>10.4水土保持措施</w:t>
      </w:r>
      <w:bookmarkEnd w:id="437"/>
      <w:bookmarkEnd w:id="438"/>
      <w:bookmarkEnd w:id="439"/>
      <w:bookmarkEnd w:id="440"/>
      <w:bookmarkEnd w:id="441"/>
      <w:bookmarkEnd w:id="442"/>
      <w:bookmarkEnd w:id="443"/>
      <w:bookmarkEnd w:id="444"/>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bookmarkStart w:id="445" w:name="OLE_LINK13"/>
      <w:r>
        <w:rPr>
          <w:rFonts w:hint="eastAsia"/>
          <w:color w:val="auto"/>
          <w:highlight w:val="none"/>
          <w:lang w:eastAsia="zh-CN"/>
        </w:rPr>
        <w:t>本工程施工期间，主要造成植被破坏有：土方开挖、弃土场及灌溉渠道建设等。</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施工过程中取弃土石要综合考虑，填挖土石应相互利用，以减少施工中的弃土石渣量。弃土石渣应结合填坑、筑路合理规划，弃土石渣应在指定地点堆放，分层夯实，及时种上树草，避免松散的弃土石渣产生新的水土流失，对采取堆高方式的弃渣场，应修建拦渣坝，以防止水土流失的发生。需要特别注意施工土石的流失，以免造成河道淤塞。施工完成后，应对破坏的植被进行植草植木处理。水土流失治理应采取工程措施和生物防治措施相结合，全面规划、综合治理。本工程水土流失治理的主要措施如下：</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（1）工程措施</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工程措施主要是对开挖取料后的弃料进行防护，避免其流失。采取的防护措施是采用草皮护坡。</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（2）生物防治措施</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生物防治措施主要是对施工临时道路，削坡坡面进行防护，恢复植被，避免水土流失。</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对施工后遭到破坏的山坡、废弃的施工临时道路等，对表层进行植被保护。</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（3）水土保持实施</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水土保持工程的实施，应与工程施工同步进行，特别是工程措施，必须在施工同时进行，避免施工过程中的水土流失。生物防渗措施则应在工程完成后立即进行，以营造一个良好的生态环境。</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水土保持治理必须落到实处，工程实施的项目法人必须有人专管，从领导上、技术上保证方案的顺利实施，按时按质完成任务。</w:t>
      </w:r>
    </w:p>
    <w:bookmarkEnd w:id="445"/>
    <w:p>
      <w:pPr>
        <w:ind w:firstLine="480"/>
        <w:rPr>
          <w:color w:val="auto"/>
          <w:highlight w:val="none"/>
        </w:rPr>
        <w:sectPr>
          <w:pgSz w:w="11906" w:h="16838"/>
          <w:pgMar w:top="1418" w:right="1644" w:bottom="1418" w:left="1701" w:header="851" w:footer="992" w:gutter="0"/>
          <w:pgBorders>
            <w:top w:val="none" w:sz="0" w:space="0"/>
            <w:left w:val="none" w:sz="0" w:space="0"/>
            <w:bottom w:val="none" w:sz="0" w:space="0"/>
            <w:right w:val="none" w:sz="0" w:space="0"/>
          </w:pgBorders>
          <w:pgNumType w:fmt="decimal"/>
          <w:cols w:space="720" w:num="1"/>
          <w:docGrid w:type="lines" w:linePitch="312" w:charSpace="0"/>
        </w:sectPr>
      </w:pPr>
      <w:r>
        <w:rPr>
          <w:rFonts w:hint="eastAsia"/>
          <w:color w:val="auto"/>
          <w:highlight w:val="none"/>
          <w:lang w:eastAsia="zh-CN"/>
        </w:rPr>
        <w:br w:type="page"/>
      </w:r>
    </w:p>
    <w:p>
      <w:pPr>
        <w:pStyle w:val="2"/>
        <w:keepNext w:val="0"/>
        <w:keepLines w:val="0"/>
        <w:pageBreakBefore/>
        <w:spacing w:before="156" w:beforeLines="50" w:after="156" w:afterLines="50" w:line="360" w:lineRule="auto"/>
        <w:ind w:firstLine="640"/>
        <w:rPr>
          <w:b/>
          <w:color w:val="auto"/>
          <w:szCs w:val="32"/>
          <w:highlight w:val="none"/>
        </w:rPr>
      </w:pPr>
      <w:bookmarkStart w:id="446" w:name="_Toc536295217"/>
      <w:bookmarkStart w:id="447" w:name="_Toc404766606"/>
      <w:bookmarkStart w:id="448" w:name="_Toc342892957"/>
      <w:bookmarkStart w:id="449" w:name="_Toc22514"/>
      <w:bookmarkStart w:id="450" w:name="_Toc536295240"/>
      <w:r>
        <w:rPr>
          <w:rFonts w:hint="eastAsia"/>
          <w:color w:val="auto"/>
          <w:szCs w:val="32"/>
          <w:highlight w:val="none"/>
          <w:lang w:val="en-US" w:eastAsia="zh-CN"/>
        </w:rPr>
        <w:t>11</w:t>
      </w:r>
      <w:r>
        <w:rPr>
          <w:rFonts w:hint="eastAsia"/>
          <w:color w:val="auto"/>
          <w:szCs w:val="32"/>
          <w:highlight w:val="none"/>
        </w:rPr>
        <w:t xml:space="preserve">  劳动安全及工业卫生</w:t>
      </w:r>
      <w:bookmarkEnd w:id="446"/>
      <w:bookmarkEnd w:id="447"/>
      <w:bookmarkEnd w:id="448"/>
      <w:bookmarkEnd w:id="449"/>
    </w:p>
    <w:p>
      <w:pPr>
        <w:pStyle w:val="3"/>
        <w:ind w:left="0" w:leftChars="0" w:firstLine="0" w:firstLineChars="0"/>
        <w:rPr>
          <w:rFonts w:hint="eastAsia"/>
          <w:color w:val="auto"/>
          <w:highlight w:val="none"/>
          <w:lang w:val="en-US" w:eastAsia="zh-CN"/>
        </w:rPr>
      </w:pPr>
      <w:bookmarkStart w:id="451" w:name="_Toc25240"/>
      <w:bookmarkStart w:id="452" w:name="_Toc9645"/>
      <w:bookmarkStart w:id="453" w:name="_Toc306040327"/>
      <w:bookmarkStart w:id="454" w:name="_Toc346357610"/>
      <w:bookmarkStart w:id="455" w:name="_Toc430944033"/>
      <w:bookmarkStart w:id="456" w:name="_Toc484078297"/>
      <w:bookmarkStart w:id="457" w:name="_Toc25233"/>
      <w:bookmarkStart w:id="458" w:name="_Toc536295219"/>
      <w:bookmarkStart w:id="459" w:name="_Toc297108212"/>
      <w:bookmarkStart w:id="460" w:name="_Toc404766608"/>
      <w:bookmarkStart w:id="461" w:name="_Toc196206448"/>
      <w:bookmarkStart w:id="462" w:name="_Toc300149368"/>
      <w:r>
        <w:rPr>
          <w:rFonts w:hint="eastAsia"/>
          <w:color w:val="auto"/>
          <w:highlight w:val="none"/>
          <w:lang w:val="en-US" w:eastAsia="zh-CN"/>
        </w:rPr>
        <w:t>11.1劳动安全</w:t>
      </w:r>
      <w:bookmarkEnd w:id="451"/>
      <w:bookmarkEnd w:id="452"/>
      <w:bookmarkEnd w:id="453"/>
      <w:bookmarkEnd w:id="454"/>
      <w:bookmarkEnd w:id="455"/>
      <w:bookmarkEnd w:id="456"/>
      <w:bookmarkEnd w:id="457"/>
    </w:p>
    <w:p>
      <w:pPr>
        <w:pStyle w:val="335"/>
        <w:spacing w:before="156" w:after="156"/>
        <w:rPr>
          <w:rFonts w:hint="eastAsia"/>
          <w:color w:val="auto"/>
          <w:highlight w:val="none"/>
          <w:lang w:val="en-US" w:eastAsia="zh-CN"/>
        </w:rPr>
      </w:pPr>
      <w:r>
        <w:rPr>
          <w:rFonts w:hint="eastAsia"/>
          <w:color w:val="auto"/>
          <w:highlight w:val="none"/>
          <w:lang w:val="en-US" w:eastAsia="zh-CN"/>
        </w:rPr>
        <w:t>11.1.1防火、防爆安全</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（1）安全措施</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本工程的防火、防爆安全设计贯彻“预防为主、防消结合”的方针，实行防火安全责任制。主要消防措施包括：</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1）建立专职消防队，配备消防器材，训练人员上岗值班。</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2）在消防设施和器材上设置安全标志、并定期组织检验、维修，确保消防设施和器材完好、有效。</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3）制定本工程的消防安全制度、消防安全操作规程。</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4）实行防火安全责任制，确定本枢纽和所属各部门、岗位的消防安全责任人。</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5）对职工进行消防安全培训。</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6）保障各个疏散通道、安全出口畅通，并设置符合国家规定的消防安全疏散标志。</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（2）发生火灾爆炸后的疏散抢救工作</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发生火灾后，紧急广播通知在场人员进行扑救，并通知专职消防队进入事故现场。指示在场人员按指示的方向疏散避难；通知医疗卫生人员利用急救车抢救烧伤和电击伤害人员，伤情严重者送城市医院急救。</w:t>
      </w:r>
    </w:p>
    <w:p>
      <w:pPr>
        <w:pStyle w:val="335"/>
        <w:spacing w:before="156" w:after="156"/>
        <w:rPr>
          <w:rFonts w:hint="eastAsia"/>
          <w:color w:val="auto"/>
          <w:highlight w:val="none"/>
          <w:lang w:val="en-US" w:eastAsia="zh-CN"/>
        </w:rPr>
      </w:pPr>
      <w:r>
        <w:rPr>
          <w:rFonts w:hint="eastAsia"/>
          <w:color w:val="auto"/>
          <w:highlight w:val="none"/>
          <w:lang w:val="en-US" w:eastAsia="zh-CN"/>
        </w:rPr>
        <w:t>11.1.2防机械伤害、防坠落措施</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（1）楼梯、爬梯、平台均设扶手并采取防滑措施。</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（2）阀门起吊设施所用钢丝绳、滑轮、吊钩符合《起重机械安全规程》（GB6067）的有关规定。</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（3）施工机械运作范围布设安全标志，并设安全检测人员，减少机械对人身伤害。</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（4）高边坡开挖符合稳定要求，避免塌方。</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（5）施工期高空作业时，必须按照操作规程进行操作，做好安全防护措施，以免造成安全事故。</w:t>
      </w:r>
    </w:p>
    <w:p>
      <w:pPr>
        <w:pStyle w:val="335"/>
        <w:spacing w:before="156" w:after="156"/>
        <w:rPr>
          <w:rFonts w:hint="eastAsia"/>
          <w:color w:val="auto"/>
          <w:highlight w:val="none"/>
          <w:lang w:val="en-US" w:eastAsia="zh-CN"/>
        </w:rPr>
      </w:pPr>
      <w:bookmarkStart w:id="463" w:name="_Toc175470907"/>
      <w:bookmarkStart w:id="464" w:name="_Toc194801690"/>
      <w:r>
        <w:rPr>
          <w:rFonts w:hint="eastAsia"/>
          <w:color w:val="auto"/>
          <w:highlight w:val="none"/>
          <w:lang w:val="en-US" w:eastAsia="zh-CN"/>
        </w:rPr>
        <w:t>11.1.3防电气伤害设计</w:t>
      </w:r>
      <w:bookmarkEnd w:id="463"/>
      <w:bookmarkEnd w:id="464"/>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对于误操作可能带来人身触电和伤害事故的设备，在电气回路上应设置电气联锁装置和机械联锁装置。对高压开关柜选用具有防带负荷分合隔离开关；防误分、合断路器；防带电挂地线，合接地开关；防带地线合隔离开关和断路器；防误入带电间隔的五防功能。</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（2）对所有可能产生感应电压的电气设备外壳和钢构架采取接地措施，并对其最大感应电压设计控制在50V以下，以保证人身安全。</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（3）在设计时，要考虑电气设备的外壳和母线钢构架正常运行时的最高温升，在运行人员经常触及的部位不大于30k，在运行人员不触及的部位不大于65k，并设有明显的安全标志和隔离的防护措施。</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（4）本工程任何地方的照明器当安装高度低于2.4m时，应设防止触电的防护罩或其它措施。</w:t>
      </w:r>
    </w:p>
    <w:p>
      <w:pPr>
        <w:pStyle w:val="335"/>
        <w:spacing w:before="156" w:after="156"/>
        <w:rPr>
          <w:rFonts w:hint="eastAsia"/>
          <w:color w:val="auto"/>
          <w:highlight w:val="none"/>
          <w:lang w:val="en-US" w:eastAsia="zh-CN"/>
        </w:rPr>
      </w:pPr>
      <w:r>
        <w:rPr>
          <w:rFonts w:hint="eastAsia"/>
          <w:color w:val="auto"/>
          <w:highlight w:val="none"/>
          <w:lang w:val="en-US" w:eastAsia="zh-CN"/>
        </w:rPr>
        <w:t>11.1.4安全生产教育</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广泛开展安全生产的宣传教育，使现场人员真正认识到安全生产的重要性，懂得安全生产、文明生产的科学知识，牢固树立安全第一的思想。企业要建立经常性的安全和培训考核制度，具体包括如下三个方面。</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（1）新工人（包括合同工、临时工、学徒工、实习和代培人员）必须事先进行安全教育。教育内容包括安全技术知识、设备性能、操作规程、安全制度和严禁事项，并经考试合格后，方可进入操作岗位。</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（2）电工、焊工、架工、司炉工、爆破工、机操工及起重机、打桩机和各种机动车辆司机等特殊工种工作，除进行一般安全教育外，还要经过本工程的安全技术教育，经考核合格发证后，方可获准独立操作。</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（3）采用新技术、新工艺、新设备施工和调换工作岗位时，要对操作人员进行新技术和新岗位的安全教育，未经教育不得上岗操作。</w:t>
      </w:r>
    </w:p>
    <w:p>
      <w:pPr>
        <w:pStyle w:val="335"/>
        <w:spacing w:before="156" w:after="156"/>
        <w:rPr>
          <w:rFonts w:hint="eastAsia"/>
          <w:color w:val="auto"/>
          <w:highlight w:val="none"/>
          <w:lang w:val="en-US" w:eastAsia="zh-CN"/>
        </w:rPr>
      </w:pPr>
      <w:r>
        <w:rPr>
          <w:rFonts w:hint="eastAsia"/>
          <w:color w:val="auto"/>
          <w:highlight w:val="none"/>
          <w:lang w:val="en-US" w:eastAsia="zh-CN"/>
        </w:rPr>
        <w:t>11.1.5安全生产的检查、监督</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除应经常进行安全检查外，还要组织定期检查、监督。企业每季、工区每月、施工队每半月组织一次检查。检查要发动群众，要有领导干部、技术干部和工作人员参加，边检查，边整改。</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每次检查要有重点、有标准，要评比记分，列入本单位考核内容。</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检查以自查为主，互查为辅。以查思想、查制度、查纪律、查领导、查隐患为主要内容。要结合季节特点，开展防洪、防雷电、防坍塌、防高处坠落、防煤气中毒等“五防”检查。</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要制定整改计划，定人、定措施、定经费、定完成日期。在隐患没有消除前，必须采取可靠的防护措施，如有危及人身安全的紧急险情，应立即停止作业。</w:t>
      </w:r>
    </w:p>
    <w:p>
      <w:pPr>
        <w:pStyle w:val="3"/>
        <w:ind w:left="0" w:leftChars="0" w:firstLine="0" w:firstLineChars="0"/>
        <w:rPr>
          <w:rFonts w:hint="eastAsia"/>
          <w:color w:val="auto"/>
          <w:highlight w:val="none"/>
          <w:lang w:val="en-US" w:eastAsia="zh-CN"/>
        </w:rPr>
      </w:pPr>
      <w:bookmarkStart w:id="465" w:name="_Toc2453"/>
      <w:bookmarkStart w:id="466" w:name="_Toc430944034"/>
      <w:bookmarkStart w:id="467" w:name="_Toc13763"/>
      <w:bookmarkStart w:id="468" w:name="_Toc484078298"/>
      <w:bookmarkStart w:id="469" w:name="_Toc306040328"/>
      <w:bookmarkStart w:id="470" w:name="_Toc346357611"/>
      <w:bookmarkStart w:id="471" w:name="_Toc23104"/>
      <w:r>
        <w:rPr>
          <w:rFonts w:hint="eastAsia"/>
          <w:color w:val="auto"/>
          <w:highlight w:val="none"/>
          <w:lang w:val="en-US" w:eastAsia="zh-CN"/>
        </w:rPr>
        <w:t>11.2工业卫生</w:t>
      </w:r>
      <w:bookmarkEnd w:id="465"/>
      <w:bookmarkEnd w:id="466"/>
      <w:bookmarkEnd w:id="467"/>
      <w:bookmarkEnd w:id="468"/>
      <w:bookmarkEnd w:id="469"/>
      <w:bookmarkEnd w:id="470"/>
      <w:bookmarkEnd w:id="471"/>
    </w:p>
    <w:p>
      <w:pPr>
        <w:pStyle w:val="335"/>
        <w:spacing w:before="156" w:after="156"/>
        <w:rPr>
          <w:rFonts w:hint="eastAsia"/>
          <w:color w:val="auto"/>
          <w:highlight w:val="none"/>
          <w:lang w:val="en-US" w:eastAsia="zh-CN"/>
        </w:rPr>
      </w:pPr>
      <w:r>
        <w:rPr>
          <w:rFonts w:hint="eastAsia"/>
          <w:color w:val="auto"/>
          <w:highlight w:val="none"/>
          <w:lang w:val="en-US" w:eastAsia="zh-CN"/>
        </w:rPr>
        <w:t>11.2.1防噪声及防振动</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生产管理用房的各部位噪声限制值均按《水利水电工程劳动安全与工业卫生设计规范》GB50706-2011规定要求进行设计：</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（1）生产管理楼内办公室、会议室、试验室噪声限制值为60（dB）。</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（2）作业场所和生产设备房间噪声限制值为85（dB）。</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（3）设计中选用噪声和搌动水平符合国家现行有关标准的设备，必要时，应对设备提出允许的限制值，或采取相应的防护措施。</w:t>
      </w:r>
    </w:p>
    <w:p>
      <w:pPr>
        <w:pStyle w:val="335"/>
        <w:spacing w:before="156" w:after="156"/>
        <w:rPr>
          <w:rFonts w:hint="eastAsia"/>
          <w:color w:val="auto"/>
          <w:highlight w:val="none"/>
          <w:lang w:val="en-US" w:eastAsia="zh-CN"/>
        </w:rPr>
      </w:pPr>
      <w:r>
        <w:rPr>
          <w:rFonts w:hint="eastAsia"/>
          <w:color w:val="auto"/>
          <w:highlight w:val="none"/>
          <w:lang w:val="en-US" w:eastAsia="zh-CN"/>
        </w:rPr>
        <w:t>11.2.2温度与湿度控制</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作业环境不良，会使作业人员处于身体疲劳、视线不清、注意力不集中、反应迟钝、昏昏欲睡状态，使操作失误增多，所以也是导致事故发生的危害因素。高温环境会引起中暑，长期高温作业（数年）可出现高血压、心肌受损和消化功能障碍病症。工程各类工作场所的室内空气均应控制在一定的温度和湿度。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（1）办公楼、调度室等作业场所的空气质量、湿度随大气环境变化而变化，室内温度应有空调设备调节。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（2）在夏季高温环境中作业和施工时，应采取必要的遮挡日晒和防暑降温措施。连续工作时间不宜过长，要符合有关规定，要合理安排工作时间。</w:t>
      </w:r>
    </w:p>
    <w:p>
      <w:pPr>
        <w:pStyle w:val="335"/>
        <w:spacing w:before="156" w:after="156"/>
        <w:rPr>
          <w:rFonts w:hint="eastAsia"/>
          <w:color w:val="auto"/>
          <w:highlight w:val="none"/>
          <w:lang w:val="en-US" w:eastAsia="zh-CN"/>
        </w:rPr>
      </w:pPr>
      <w:r>
        <w:rPr>
          <w:rFonts w:hint="eastAsia"/>
          <w:color w:val="auto"/>
          <w:highlight w:val="none"/>
          <w:lang w:val="en-US" w:eastAsia="zh-CN"/>
        </w:rPr>
        <w:t>11.2.3采光与照明</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本工程涉及到的主要是地面建筑物，各工作场所应以天然采光为主，人工照明为铺，设计依据为国家标准《建筑照明设计标准》（GB50034-2004）。各种工作场所天然采光照明度均满足《水利水电工程劳动安全与工业卫生设计规范》（DL5061-1996）表5.3.2的有关规定。</w:t>
      </w:r>
    </w:p>
    <w:p>
      <w:pPr>
        <w:pStyle w:val="335"/>
        <w:spacing w:before="156" w:after="156"/>
        <w:rPr>
          <w:rFonts w:hint="eastAsia"/>
          <w:color w:val="auto"/>
          <w:highlight w:val="none"/>
          <w:lang w:val="en-US" w:eastAsia="zh-CN"/>
        </w:rPr>
      </w:pPr>
      <w:bookmarkStart w:id="472" w:name="_Toc302725014"/>
      <w:bookmarkEnd w:id="472"/>
      <w:bookmarkStart w:id="473" w:name="_Toc302027656"/>
      <w:bookmarkEnd w:id="473"/>
      <w:r>
        <w:rPr>
          <w:rFonts w:hint="eastAsia"/>
          <w:color w:val="auto"/>
          <w:highlight w:val="none"/>
          <w:lang w:val="en-US" w:eastAsia="zh-CN"/>
        </w:rPr>
        <w:t>11.2.4防尘、防污、附腐蚀、防毒</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（1）经常检查劳动保护用品，保证其有效性。严格管理，不允许在工作场所进食、吸烟。</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（2）易发生火灾的部位应设置事故排烟设备。</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（3）生产生活用房的建筑装修材料，一定要选择符合国家有关卫生标准规定的达标产品，防止散发有毒有害物质或放射性物质，危害人体健康。</w:t>
      </w:r>
    </w:p>
    <w:p>
      <w:pPr>
        <w:pStyle w:val="335"/>
        <w:spacing w:before="156" w:after="156"/>
        <w:rPr>
          <w:rFonts w:hint="eastAsia"/>
          <w:color w:val="auto"/>
          <w:highlight w:val="none"/>
          <w:lang w:val="en-US" w:eastAsia="zh-CN"/>
        </w:rPr>
      </w:pPr>
      <w:r>
        <w:rPr>
          <w:rFonts w:hint="eastAsia"/>
          <w:color w:val="auto"/>
          <w:highlight w:val="none"/>
          <w:lang w:val="en-US" w:eastAsia="zh-CN"/>
        </w:rPr>
        <w:t>11.2.5防电磁辐射</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变压器、配电装置等设备产生较强电磁场，在此作业场所工作人员的辐射防护要求应符合有关规定。</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按照电磁辐射防护三原则（屏蔽、防护距离和缩短照射时间）采取对策措施，使各区域工作人员受到的辐射照射不超过标准规定的个体剂量限值。</w:t>
      </w:r>
    </w:p>
    <w:p>
      <w:pPr>
        <w:pStyle w:val="3"/>
        <w:ind w:left="0" w:leftChars="0" w:firstLine="0" w:firstLineChars="0"/>
        <w:rPr>
          <w:rFonts w:hint="eastAsia"/>
          <w:color w:val="auto"/>
          <w:highlight w:val="none"/>
          <w:lang w:val="en-US" w:eastAsia="zh-CN"/>
        </w:rPr>
      </w:pPr>
      <w:bookmarkStart w:id="474" w:name="_Toc430944035"/>
      <w:bookmarkStart w:id="475" w:name="_Toc346357612"/>
      <w:bookmarkStart w:id="476" w:name="_Toc3645"/>
      <w:bookmarkStart w:id="477" w:name="_Toc306040329"/>
      <w:bookmarkStart w:id="478" w:name="_Toc9905"/>
      <w:bookmarkStart w:id="479" w:name="_Toc484078299"/>
      <w:bookmarkStart w:id="480" w:name="_Toc1922"/>
      <w:r>
        <w:rPr>
          <w:rFonts w:hint="eastAsia"/>
          <w:color w:val="auto"/>
          <w:highlight w:val="none"/>
          <w:lang w:val="en-US" w:eastAsia="zh-CN"/>
        </w:rPr>
        <w:t>11.3安全卫生设施</w:t>
      </w:r>
      <w:bookmarkEnd w:id="474"/>
      <w:bookmarkEnd w:id="475"/>
      <w:bookmarkEnd w:id="476"/>
      <w:bookmarkEnd w:id="477"/>
      <w:bookmarkEnd w:id="478"/>
      <w:bookmarkEnd w:id="479"/>
      <w:bookmarkEnd w:id="480"/>
    </w:p>
    <w:p>
      <w:pPr>
        <w:pStyle w:val="335"/>
        <w:spacing w:before="156" w:after="156"/>
        <w:rPr>
          <w:rFonts w:hint="eastAsia"/>
          <w:color w:val="auto"/>
          <w:highlight w:val="none"/>
          <w:lang w:val="en-US" w:eastAsia="zh-CN"/>
        </w:rPr>
      </w:pPr>
      <w:r>
        <w:rPr>
          <w:rFonts w:hint="eastAsia"/>
          <w:color w:val="auto"/>
          <w:highlight w:val="none"/>
          <w:lang w:val="en-US" w:eastAsia="zh-CN"/>
        </w:rPr>
        <w:t>11.3.1辅助用室</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（1）工程管理区设有医疗室、生活区食堂等生活福利建筑。辅助用室要求符合《工业企业设计卫生标准》（GBZ 1-2002）。</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（2）在工作场所附近，设置一定数量的淋浴室用于淋浴。</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（3）在工作场所附近，根据需要设置休息室。休息室可兼作学习、进餐等之用。并考虑生活垃圾的存放和清扫方便。</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（4）在休息室附近设置厕所，所有厕所污水，必须经过处理后才允许排入地面水体。 </w:t>
      </w:r>
    </w:p>
    <w:p>
      <w:pPr>
        <w:pStyle w:val="335"/>
        <w:spacing w:before="156" w:after="156"/>
        <w:rPr>
          <w:rFonts w:hint="eastAsia"/>
          <w:color w:val="auto"/>
          <w:highlight w:val="none"/>
          <w:lang w:val="en-US" w:eastAsia="zh-CN"/>
        </w:rPr>
      </w:pPr>
      <w:r>
        <w:rPr>
          <w:rFonts w:hint="eastAsia"/>
          <w:color w:val="auto"/>
          <w:highlight w:val="none"/>
          <w:lang w:val="en-US" w:eastAsia="zh-CN"/>
        </w:rPr>
        <w:t>11.3.2安全卫生管理机构及配置</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管理所下设安全卫生管理机构，负责工程项目投产后的安全卫生方面的宣传教育和管理工作。</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安全生产是水利工程顺利运行的重要保证，需由主要领导主管该工作，并经常对职工进行安全生产方面的培训。</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卫生管理机构与生产、生活区的医务室统一考虑，管理人员由医务室医务人员兼任。</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rPr>
      </w:pPr>
      <w:r>
        <w:rPr>
          <w:rFonts w:hint="eastAsia"/>
          <w:color w:val="auto"/>
          <w:highlight w:val="none"/>
          <w:lang w:eastAsia="zh-CN"/>
        </w:rPr>
        <w:t>为保证职工的卫生管理和生产安全，专职机构可配置一定数量的声级计、温度计、照度计、振动测量仪等监测仪器设备和必要的安全宣传设备和用品。</w:t>
      </w:r>
    </w:p>
    <w:p>
      <w:pPr>
        <w:ind w:firstLine="480"/>
        <w:rPr>
          <w:rFonts w:hint="eastAsia"/>
          <w:color w:val="auto"/>
          <w:highlight w:val="none"/>
        </w:rPr>
      </w:pPr>
    </w:p>
    <w:p>
      <w:pPr>
        <w:ind w:firstLine="480"/>
        <w:rPr>
          <w:rFonts w:hint="eastAsia"/>
          <w:color w:val="auto"/>
          <w:highlight w:val="none"/>
        </w:rPr>
      </w:pPr>
      <w:r>
        <w:rPr>
          <w:rFonts w:hint="eastAsia"/>
          <w:color w:val="auto"/>
          <w:highlight w:val="none"/>
        </w:rPr>
        <w:br w:type="page"/>
      </w:r>
    </w:p>
    <w:bookmarkEnd w:id="458"/>
    <w:bookmarkEnd w:id="459"/>
    <w:bookmarkEnd w:id="460"/>
    <w:bookmarkEnd w:id="461"/>
    <w:bookmarkEnd w:id="462"/>
    <w:p>
      <w:pPr>
        <w:pStyle w:val="2"/>
        <w:keepNext w:val="0"/>
        <w:keepLines w:val="0"/>
        <w:pageBreakBefore/>
        <w:spacing w:before="156" w:beforeLines="50" w:after="156" w:afterLines="50" w:line="360" w:lineRule="auto"/>
        <w:ind w:firstLine="640"/>
        <w:rPr>
          <w:b/>
          <w:color w:val="auto"/>
          <w:szCs w:val="32"/>
          <w:highlight w:val="none"/>
        </w:rPr>
      </w:pPr>
      <w:bookmarkStart w:id="481" w:name="_Toc15383"/>
      <w:r>
        <w:rPr>
          <w:rFonts w:hint="eastAsia"/>
          <w:color w:val="auto"/>
          <w:szCs w:val="32"/>
          <w:highlight w:val="none"/>
          <w:lang w:val="en-US" w:eastAsia="zh-CN"/>
        </w:rPr>
        <w:t>12</w:t>
      </w:r>
      <w:r>
        <w:rPr>
          <w:color w:val="auto"/>
          <w:szCs w:val="32"/>
          <w:highlight w:val="none"/>
        </w:rPr>
        <w:t>　节能设计</w:t>
      </w:r>
      <w:bookmarkEnd w:id="450"/>
      <w:bookmarkEnd w:id="481"/>
    </w:p>
    <w:p>
      <w:pPr>
        <w:pStyle w:val="3"/>
        <w:ind w:left="0" w:leftChars="0" w:firstLine="0" w:firstLineChars="0"/>
        <w:rPr>
          <w:rFonts w:hint="eastAsia"/>
          <w:color w:val="auto"/>
          <w:highlight w:val="none"/>
          <w:lang w:val="en-US" w:eastAsia="zh-CN"/>
        </w:rPr>
      </w:pPr>
      <w:bookmarkStart w:id="482" w:name="_Toc295723014"/>
      <w:bookmarkStart w:id="483" w:name="_Toc29872"/>
      <w:bookmarkStart w:id="484" w:name="_Toc332294256"/>
      <w:bookmarkStart w:id="485" w:name="_Toc304847972"/>
      <w:bookmarkStart w:id="486" w:name="_Toc5443"/>
      <w:bookmarkStart w:id="487" w:name="_Toc468798815"/>
      <w:bookmarkStart w:id="488" w:name="_Toc309294411"/>
      <w:bookmarkStart w:id="489" w:name="_Toc309373055"/>
      <w:bookmarkStart w:id="490" w:name="_Toc469038310"/>
      <w:bookmarkStart w:id="491" w:name="_Toc312310147"/>
      <w:bookmarkStart w:id="492" w:name="_Toc4173"/>
      <w:bookmarkStart w:id="493" w:name="_Toc309373493"/>
      <w:bookmarkStart w:id="494" w:name="_Toc2078"/>
      <w:bookmarkStart w:id="495" w:name="_Toc467768654"/>
      <w:bookmarkStart w:id="496" w:name="_Toc309294677"/>
      <w:bookmarkStart w:id="497" w:name="_Toc310935751"/>
      <w:bookmarkStart w:id="498" w:name="_Toc17475"/>
      <w:r>
        <w:rPr>
          <w:rFonts w:hint="eastAsia"/>
          <w:color w:val="auto"/>
          <w:highlight w:val="none"/>
          <w:lang w:val="en-US" w:eastAsia="zh-CN"/>
        </w:rPr>
        <w:t>12.1设计依据</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r>
        <w:rPr>
          <w:rFonts w:hint="eastAsia"/>
          <w:color w:val="auto"/>
          <w:highlight w:val="none"/>
          <w:lang w:val="en-US" w:eastAsia="zh-CN"/>
        </w:rPr>
        <w:t xml:space="preserve"> </w:t>
      </w:r>
    </w:p>
    <w:p>
      <w:pPr>
        <w:pStyle w:val="335"/>
        <w:spacing w:before="156" w:after="156"/>
        <w:rPr>
          <w:rFonts w:hint="eastAsia"/>
          <w:color w:val="auto"/>
          <w:highlight w:val="none"/>
          <w:lang w:val="en-US" w:eastAsia="zh-CN"/>
        </w:rPr>
      </w:pPr>
      <w:bookmarkStart w:id="499" w:name="_Toc309294678"/>
      <w:bookmarkStart w:id="500" w:name="_Toc304847973"/>
      <w:bookmarkStart w:id="501" w:name="_Toc332294257"/>
      <w:bookmarkStart w:id="502" w:name="_Toc309294412"/>
      <w:r>
        <w:rPr>
          <w:rFonts w:hint="eastAsia"/>
          <w:color w:val="auto"/>
          <w:highlight w:val="none"/>
          <w:lang w:val="en-US" w:eastAsia="zh-CN"/>
        </w:rPr>
        <w:t>12.1.1相关法律法规、规划和产业政策</w:t>
      </w:r>
      <w:bookmarkEnd w:id="499"/>
      <w:bookmarkEnd w:id="500"/>
      <w:bookmarkEnd w:id="501"/>
      <w:bookmarkEnd w:id="502"/>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(1)《中华人民共和国节约能源法》；</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(2)《中华人民共和国可再生能源法》；</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(3)《中华人民共和国建筑法》；</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(4)《中华人民共和国清洁生产促进法》；</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(5)《国务院关于加强节能工作的决定》（国发【2006】28 号）；</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(6) 《国家发改委关于加强固定资产投资项目节能评估和审查工作的通知》（发改投资【2006】2787 号）；</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(7)《清洁生产审核暂行办法》（国家发展改革委、国家环保总局令第16 号）；</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(8)《重点用能单位节能管理办法》（原国家经贸委令第7 号）；</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(9)《节能中长期专项规划》（发改环资【2004】2505 号）；</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(10)《民用建筑节能管理规定》（建设部部长令第76 号）；</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(11)《国家发改委关于加强固定资产投资项目节能评估和审查指南（2006） 的通知》（发改环资【2007】21 号）；</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(12)《国务院关于发布促进产业结构调整暂行规定的通知》（国发【2005】40 号）；</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(13)《产业结构调整指导目录（2005 年本）》（国家发改委令第40 号）；</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(14)《中国节能技术政策大纲》（计交能【1996】905 号）；</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(15) 《国家鼓励发展的资源节约综合利用和环境保护技术》（国家发改委2005 第65 号）；</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(16) 《广东省建设项目环境保护管理条例》 1997 年9 月22 日。</w:t>
      </w:r>
    </w:p>
    <w:p>
      <w:pPr>
        <w:pStyle w:val="335"/>
        <w:spacing w:before="156" w:after="156"/>
        <w:rPr>
          <w:rFonts w:hint="eastAsia"/>
          <w:color w:val="auto"/>
          <w:highlight w:val="none"/>
          <w:lang w:val="en-US" w:eastAsia="zh-CN"/>
        </w:rPr>
      </w:pPr>
      <w:bookmarkStart w:id="503" w:name="_Toc332294258"/>
      <w:bookmarkStart w:id="504" w:name="_Toc309294679"/>
      <w:bookmarkStart w:id="505" w:name="_Toc304847974"/>
      <w:bookmarkStart w:id="506" w:name="_Toc309294413"/>
      <w:r>
        <w:rPr>
          <w:rFonts w:hint="eastAsia"/>
          <w:color w:val="auto"/>
          <w:highlight w:val="none"/>
          <w:lang w:val="en-US" w:eastAsia="zh-CN"/>
        </w:rPr>
        <w:t>12.1.2标准、规范、规程</w:t>
      </w:r>
      <w:bookmarkEnd w:id="503"/>
      <w:bookmarkEnd w:id="504"/>
      <w:bookmarkEnd w:id="505"/>
      <w:bookmarkEnd w:id="506"/>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(1)《工业企业能源管理导则》（GB/T15587-1995）；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(2)《评价企业合理用电技术导则》（GB/T3485-1998）；</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(3)《合理润滑技术通则》（GB/T13608-1992）；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(4)《节电措施经济效益计算与评价》（GB/T13471-1992）；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(5)《公共建筑节能设计标准》（GB50189-2005）；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(6)《民用建筑节能设计标准(采暖居住建筑部分)》（JCJ26-95）；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(7)《民用建筑节能管理规定(2005)》 (建设部令第143 号)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(8)《节能监测技术通则》（GBl536-94）；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(9)《建筑能耗统计标准九种高耗电产品电耗最高限额》 （国经贸资源[2000]1256 号）；</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(10)《夏热冬暖地区居住建筑节能设计标准及广东省实施细则》  （JCJ75-2003）；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(11)《夏热冬冷地区居住建筑节能设计标准》（JCJ134-2001）；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(12)《水利水电工程设计防火规范》（SDJ278-90）；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(13)《低压配电设计规范》（GB50054-1995）；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(14)《供配电系统设计规范》（GB50052-1995）；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(15)《建筑照明设计标准》（GB50034-2004）；</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(16)《建筑采光设计标准》（GB/T50033-2001）；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(17)《绿色建筑评价标准》（GB/T50378-2006）；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(18)《绿色建筑技术导则》（建科【2005】199 号）；</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(19)《电力工程电缆设计规范》（GB50217-1994）；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 xml:space="preserve">(20)《导体和电器选择设计技术规定》（DL/T5222-2005）。 </w:t>
      </w:r>
    </w:p>
    <w:p>
      <w:pPr>
        <w:pStyle w:val="3"/>
        <w:ind w:left="0" w:leftChars="0" w:firstLine="0" w:firstLineChars="0"/>
        <w:rPr>
          <w:rFonts w:hint="eastAsia"/>
          <w:color w:val="auto"/>
          <w:highlight w:val="none"/>
          <w:lang w:val="en-US" w:eastAsia="zh-CN"/>
        </w:rPr>
      </w:pPr>
      <w:bookmarkStart w:id="507" w:name="_Toc17210"/>
      <w:bookmarkStart w:id="508" w:name="_Toc469038311"/>
      <w:bookmarkStart w:id="509" w:name="_Toc295723015"/>
      <w:bookmarkStart w:id="510" w:name="_Toc468798816"/>
      <w:bookmarkStart w:id="511" w:name="_Toc309294680"/>
      <w:bookmarkStart w:id="512" w:name="_Toc19437"/>
      <w:bookmarkStart w:id="513" w:name="_Toc467768655"/>
      <w:bookmarkStart w:id="514" w:name="_Toc310935752"/>
      <w:bookmarkStart w:id="515" w:name="_Toc332294259"/>
      <w:bookmarkStart w:id="516" w:name="_Toc309294414"/>
      <w:bookmarkStart w:id="517" w:name="_Toc32080"/>
      <w:bookmarkStart w:id="518" w:name="_Toc312310148"/>
      <w:bookmarkStart w:id="519" w:name="_Toc3033"/>
      <w:bookmarkStart w:id="520" w:name="_Toc304847975"/>
      <w:bookmarkStart w:id="521" w:name="_Toc26882"/>
      <w:r>
        <w:rPr>
          <w:rFonts w:hint="eastAsia"/>
          <w:color w:val="auto"/>
          <w:highlight w:val="none"/>
          <w:lang w:val="en-US" w:eastAsia="zh-CN"/>
        </w:rPr>
        <w:t>12.2水工设计中的节能设计</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水工设计中节能设计主要体现在是否能够充分利用或改造现有的工程设施，尽量减少新增工程项目及工程量。在进行工程布置时，应经过多方案比较，从而选择安全可靠、经济合理、施工方便、充分利用原有工程并对环境影响较小的设计方案。</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方案比选时，除技术方面考虑外，还从节约投资，减少能耗，减少干扰，便于施工等方面考虑。</w:t>
      </w:r>
    </w:p>
    <w:p>
      <w:pPr>
        <w:pStyle w:val="3"/>
        <w:ind w:left="0" w:leftChars="0" w:firstLine="0" w:firstLineChars="0"/>
        <w:rPr>
          <w:rFonts w:hint="eastAsia"/>
          <w:color w:val="auto"/>
          <w:highlight w:val="none"/>
          <w:lang w:val="en-US" w:eastAsia="zh-CN"/>
        </w:rPr>
      </w:pPr>
      <w:bookmarkStart w:id="522" w:name="_Toc5491"/>
      <w:bookmarkStart w:id="523" w:name="_Toc10441"/>
      <w:bookmarkStart w:id="524" w:name="_Toc295723016"/>
      <w:bookmarkStart w:id="525" w:name="_Toc469038312"/>
      <w:bookmarkStart w:id="526" w:name="_Toc332294260"/>
      <w:bookmarkStart w:id="527" w:name="_Toc312310149"/>
      <w:bookmarkStart w:id="528" w:name="_Toc11181"/>
      <w:bookmarkStart w:id="529" w:name="_Toc11575"/>
      <w:bookmarkStart w:id="530" w:name="_Toc310935753"/>
      <w:bookmarkStart w:id="531" w:name="_Toc19992"/>
      <w:bookmarkStart w:id="532" w:name="_Toc309373056"/>
      <w:bookmarkStart w:id="533" w:name="_Toc309294415"/>
      <w:bookmarkStart w:id="534" w:name="_Toc467768656"/>
      <w:bookmarkStart w:id="535" w:name="_Toc309373494"/>
      <w:bookmarkStart w:id="536" w:name="_Toc309294681"/>
      <w:bookmarkStart w:id="537" w:name="_Toc468798817"/>
      <w:bookmarkStart w:id="538" w:name="_Toc304847976"/>
      <w:r>
        <w:rPr>
          <w:rFonts w:hint="eastAsia"/>
          <w:color w:val="auto"/>
          <w:highlight w:val="none"/>
          <w:lang w:val="en-US" w:eastAsia="zh-CN"/>
        </w:rPr>
        <w:t>12.3施工组织设计中的节能设计</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r>
        <w:rPr>
          <w:rFonts w:hint="eastAsia"/>
          <w:color w:val="auto"/>
          <w:highlight w:val="none"/>
          <w:lang w:val="en-US" w:eastAsia="zh-CN"/>
        </w:rPr>
        <w:t xml:space="preserve"> </w:t>
      </w:r>
    </w:p>
    <w:p>
      <w:pPr>
        <w:pStyle w:val="335"/>
        <w:spacing w:before="156" w:after="156"/>
        <w:rPr>
          <w:rFonts w:hint="eastAsia"/>
          <w:color w:val="auto"/>
          <w:highlight w:val="none"/>
          <w:lang w:val="en-US" w:eastAsia="zh-CN"/>
        </w:rPr>
      </w:pPr>
      <w:bookmarkStart w:id="539" w:name="_Toc304847977"/>
      <w:bookmarkStart w:id="540" w:name="_Toc332294261"/>
      <w:bookmarkStart w:id="541" w:name="_Toc309294682"/>
      <w:bookmarkStart w:id="542" w:name="_Toc309294416"/>
      <w:r>
        <w:rPr>
          <w:rFonts w:hint="eastAsia"/>
          <w:color w:val="auto"/>
          <w:highlight w:val="none"/>
          <w:lang w:val="en-US" w:eastAsia="zh-CN"/>
        </w:rPr>
        <w:t>12.3.1施工期能耗种类</w:t>
      </w:r>
      <w:bookmarkEnd w:id="539"/>
      <w:bookmarkEnd w:id="540"/>
      <w:bookmarkEnd w:id="541"/>
      <w:bookmarkEnd w:id="542"/>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本工程施工期能耗种类包括主体工程施工能耗、施工辅助生产系统、生产性建筑物和营地及其生活配套设施能耗。</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主体工程土方开挖和填筑项目以油耗设备为主；施工辅助生产系统主要消耗能源为电和油；生产、生活建筑物消耗的主要能源为电能。</w:t>
      </w:r>
    </w:p>
    <w:p>
      <w:pPr>
        <w:pStyle w:val="335"/>
        <w:spacing w:before="156" w:after="156"/>
        <w:rPr>
          <w:rFonts w:hint="eastAsia"/>
          <w:color w:val="auto"/>
          <w:highlight w:val="none"/>
          <w:lang w:val="en-US" w:eastAsia="zh-CN"/>
        </w:rPr>
      </w:pPr>
      <w:bookmarkStart w:id="543" w:name="_Toc304847978"/>
      <w:bookmarkStart w:id="544" w:name="_Toc332294262"/>
      <w:bookmarkStart w:id="545" w:name="_Toc309294683"/>
      <w:bookmarkStart w:id="546" w:name="_Toc309294417"/>
      <w:r>
        <w:rPr>
          <w:rFonts w:hint="eastAsia"/>
          <w:color w:val="auto"/>
          <w:highlight w:val="none"/>
          <w:lang w:val="en-US" w:eastAsia="zh-CN"/>
        </w:rPr>
        <w:t>12.3.2施工机械设备数量及能耗指标</w:t>
      </w:r>
      <w:bookmarkEnd w:id="543"/>
      <w:bookmarkEnd w:id="544"/>
      <w:bookmarkEnd w:id="545"/>
      <w:bookmarkEnd w:id="546"/>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针对本工程施工操作面、施工条件等状况，施工组织设计时立足于国内现有的施工水平，以机械化作业为主。在施工机械设备选型和配套设计时，根据各单项工程的施工方案、施工强度和施工难度，工程区地形和地质条件，以及设备本身能耗、维修和运行等因素，择优选用电动、液压、柴油等能耗低、生产效率高的机械设备，避免设备的重置，最大限度地发挥各种机械设备的功效，以满足工程进度要求，保证工程质量，降低工程造价。设计过程中，注重施工的连续性、资源需求的均衡性和合理性，使其进度计划更趋合理。</w:t>
      </w:r>
    </w:p>
    <w:p>
      <w:pPr>
        <w:pStyle w:val="335"/>
        <w:spacing w:before="156" w:after="156"/>
        <w:rPr>
          <w:rFonts w:hint="eastAsia"/>
          <w:color w:val="auto"/>
          <w:highlight w:val="none"/>
          <w:lang w:val="en-US" w:eastAsia="zh-CN"/>
        </w:rPr>
      </w:pPr>
      <w:bookmarkStart w:id="547" w:name="_Toc304847979"/>
      <w:bookmarkStart w:id="548" w:name="_Toc309294684"/>
      <w:bookmarkStart w:id="549" w:name="_Toc332294263"/>
      <w:bookmarkStart w:id="550" w:name="_Toc309294418"/>
      <w:r>
        <w:rPr>
          <w:rFonts w:hint="eastAsia"/>
          <w:color w:val="auto"/>
          <w:highlight w:val="none"/>
          <w:lang w:val="en-US" w:eastAsia="zh-CN"/>
        </w:rPr>
        <w:t>12.3.3施工期能耗</w:t>
      </w:r>
      <w:bookmarkEnd w:id="547"/>
      <w:bookmarkEnd w:id="548"/>
      <w:bookmarkEnd w:id="549"/>
      <w:bookmarkEnd w:id="550"/>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本工程的施工建设主要消耗的能源有电能和柴油等，施工期的主要耗能项目集中在工程量较大的土方开挖工程、网箱砌石砌筑工程、施工临时工程和施工辅助企业；主要耗能设备为运输设备、挖装设备、碾压设备及施工工厂的机械设备，而生产性房屋、仓库及生活设施的能耗相对较少。因此在施工组织设计中节能设计的重点就在于选择经济高效的施工技术方案，将节能降耗落实到施工材料、设备、工艺等技术措施上。</w:t>
      </w:r>
    </w:p>
    <w:p>
      <w:pPr>
        <w:pStyle w:val="335"/>
        <w:spacing w:before="156" w:after="156"/>
        <w:rPr>
          <w:rFonts w:hint="eastAsia"/>
          <w:color w:val="auto"/>
          <w:highlight w:val="none"/>
          <w:lang w:val="en-US" w:eastAsia="zh-CN"/>
        </w:rPr>
      </w:pPr>
      <w:bookmarkStart w:id="551" w:name="_Toc304847980"/>
      <w:bookmarkStart w:id="552" w:name="_Toc332294264"/>
      <w:bookmarkStart w:id="553" w:name="_Toc309294685"/>
      <w:bookmarkStart w:id="554" w:name="_Toc309294419"/>
      <w:r>
        <w:rPr>
          <w:rFonts w:hint="eastAsia"/>
          <w:color w:val="auto"/>
          <w:highlight w:val="none"/>
          <w:lang w:val="en-US" w:eastAsia="zh-CN"/>
        </w:rPr>
        <w:t>12.3.4施工期建设管理节能措施的建议</w:t>
      </w:r>
      <w:bookmarkEnd w:id="551"/>
      <w:bookmarkEnd w:id="552"/>
      <w:bookmarkEnd w:id="553"/>
      <w:bookmarkEnd w:id="554"/>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根据本工程的施工特点，施工期建设管理可采取如下节能措施：</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(1) 定期对施工机械设备进行维修和保养，减少设备故障的发生率，保证设备安全连续运行。</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(2) 根据设计推荐的施工设备型号，配备合适的设备台数，以保证设备的连续运转，减少设备空转时间，最大限度发挥设备的功效。</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(3) 合理安排施工任务，做好资源平衡，避免施工强度峰谷差过大，充分发挥施工设备的能力。</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(4) 加强现场施工、管理及服务人员的节能教育。</w:t>
      </w:r>
    </w:p>
    <w:p>
      <w:pPr>
        <w:pStyle w:val="3"/>
        <w:ind w:left="0" w:leftChars="0" w:firstLine="0" w:firstLineChars="0"/>
        <w:rPr>
          <w:rFonts w:hint="eastAsia"/>
          <w:color w:val="auto"/>
          <w:highlight w:val="none"/>
          <w:lang w:val="en-US" w:eastAsia="zh-CN"/>
        </w:rPr>
      </w:pPr>
      <w:bookmarkStart w:id="555" w:name="_Toc6667"/>
      <w:bookmarkStart w:id="556" w:name="_Toc22009"/>
      <w:bookmarkStart w:id="557" w:name="_Toc295723017"/>
      <w:bookmarkStart w:id="558" w:name="_Toc312310151"/>
      <w:bookmarkStart w:id="559" w:name="_Toc467768657"/>
      <w:bookmarkStart w:id="560" w:name="_Toc469038313"/>
      <w:bookmarkStart w:id="561" w:name="_Toc20838"/>
      <w:bookmarkStart w:id="562" w:name="_Toc304847987"/>
      <w:bookmarkStart w:id="563" w:name="_Toc309373058"/>
      <w:bookmarkStart w:id="564" w:name="_Toc309294690"/>
      <w:bookmarkStart w:id="565" w:name="_Toc309294424"/>
      <w:bookmarkStart w:id="566" w:name="_Toc332294269"/>
      <w:bookmarkStart w:id="567" w:name="_Toc468798818"/>
      <w:bookmarkStart w:id="568" w:name="_Toc310935755"/>
      <w:bookmarkStart w:id="569" w:name="_Toc309373496"/>
      <w:bookmarkStart w:id="570" w:name="_Toc8574"/>
      <w:bookmarkStart w:id="571" w:name="_Toc22242"/>
      <w:r>
        <w:rPr>
          <w:rFonts w:hint="eastAsia"/>
          <w:color w:val="auto"/>
          <w:highlight w:val="none"/>
          <w:lang w:val="en-US" w:eastAsia="zh-CN"/>
        </w:rPr>
        <w:t>12.4节能效果综合评价</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r>
        <w:rPr>
          <w:rFonts w:hint="eastAsia"/>
          <w:color w:val="auto"/>
          <w:highlight w:val="none"/>
          <w:lang w:val="en-US" w:eastAsia="zh-CN"/>
        </w:rPr>
        <w:t xml:space="preserve"> </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bookmarkStart w:id="572" w:name="OLE_LINK15"/>
      <w:r>
        <w:rPr>
          <w:rFonts w:hint="eastAsia"/>
          <w:color w:val="auto"/>
          <w:highlight w:val="none"/>
          <w:lang w:eastAsia="zh-CN"/>
        </w:rPr>
        <w:t>本工程为灌溉渠道整治工程，工程实施后，可完善排涝体系，增大防洪能力，恢复灌溉能力，保护两岸边坡及耕地稳定，有利于促进当地社会经济及其它各项事业的可持续发展。工程建设符合国家、地方和行业节能设计标准，工程总体布置、施工组织及设备选择充分进行方案比选并考虑节能原则，工程采取节能措施合理可行。</w:t>
      </w:r>
    </w:p>
    <w:p>
      <w:pPr>
        <w:ind w:firstLine="480"/>
        <w:rPr>
          <w:color w:val="auto"/>
          <w:highlight w:val="none"/>
        </w:rPr>
      </w:pPr>
      <w:r>
        <w:rPr>
          <w:rFonts w:hint="eastAsia"/>
          <w:color w:val="auto"/>
          <w:highlight w:val="none"/>
        </w:rPr>
        <w:t>本工程在施工组织设计时，选择经济高效的施工技术方案和合理的施工工期，将节能降耗落实到施工材料、设备、工艺等技术措施上，降低工程造价，提高企业综合效益。</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rPr>
      </w:pPr>
      <w:r>
        <w:rPr>
          <w:rFonts w:hint="eastAsia"/>
          <w:color w:val="auto"/>
          <w:highlight w:val="none"/>
        </w:rPr>
        <w:t>工程建设符合国家、地方和行业的节能设计标准，工程总体布置、施工组织及机电金属设备选择充分考虑节能原则，工程采取的节能措施合理可行，能降低施工能耗和运行能耗，环境效益和社会效益十分显著。</w:t>
      </w:r>
    </w:p>
    <w:bookmarkEnd w:id="572"/>
    <w:p>
      <w:pPr>
        <w:ind w:firstLine="480"/>
        <w:rPr>
          <w:rFonts w:hint="eastAsia"/>
          <w:color w:val="auto"/>
          <w:highlight w:val="none"/>
        </w:rPr>
      </w:pPr>
    </w:p>
    <w:p>
      <w:pPr>
        <w:pStyle w:val="2"/>
        <w:keepNext w:val="0"/>
        <w:keepLines w:val="0"/>
        <w:pageBreakBefore/>
        <w:spacing w:before="156" w:beforeLines="50" w:after="156" w:afterLines="50" w:line="360" w:lineRule="auto"/>
        <w:ind w:firstLine="640"/>
        <w:rPr>
          <w:b/>
          <w:color w:val="auto"/>
          <w:szCs w:val="32"/>
          <w:highlight w:val="none"/>
        </w:rPr>
      </w:pPr>
      <w:bookmarkStart w:id="573" w:name="_Toc536295257"/>
      <w:bookmarkStart w:id="574" w:name="_Toc10705"/>
      <w:r>
        <w:rPr>
          <w:rFonts w:hint="eastAsia"/>
          <w:color w:val="auto"/>
          <w:szCs w:val="32"/>
          <w:highlight w:val="none"/>
          <w:lang w:val="en-US" w:eastAsia="zh-CN"/>
        </w:rPr>
        <w:t>13</w:t>
      </w:r>
      <w:r>
        <w:rPr>
          <w:color w:val="auto"/>
          <w:szCs w:val="32"/>
          <w:highlight w:val="none"/>
        </w:rPr>
        <w:t xml:space="preserve">  工程管理</w:t>
      </w:r>
      <w:bookmarkEnd w:id="573"/>
      <w:r>
        <w:rPr>
          <w:rFonts w:hint="eastAsia"/>
          <w:b/>
          <w:color w:val="auto"/>
          <w:szCs w:val="32"/>
          <w:highlight w:val="none"/>
        </w:rPr>
        <w:t>设计</w:t>
      </w:r>
      <w:bookmarkEnd w:id="574"/>
    </w:p>
    <w:p>
      <w:pPr>
        <w:pStyle w:val="3"/>
        <w:rPr>
          <w:color w:val="auto"/>
          <w:highlight w:val="none"/>
        </w:rPr>
      </w:pPr>
      <w:bookmarkStart w:id="575" w:name="_Toc536295258"/>
      <w:bookmarkStart w:id="576" w:name="_Toc415834299"/>
      <w:bookmarkStart w:id="577" w:name="_Toc26825"/>
      <w:r>
        <w:rPr>
          <w:rFonts w:hint="eastAsia"/>
          <w:color w:val="auto"/>
          <w:highlight w:val="none"/>
          <w:lang w:val="en-US" w:eastAsia="zh-CN"/>
        </w:rPr>
        <w:t>13</w:t>
      </w:r>
      <w:r>
        <w:rPr>
          <w:rFonts w:hint="eastAsia"/>
          <w:color w:val="auto"/>
          <w:highlight w:val="none"/>
        </w:rPr>
        <w:t xml:space="preserve">.1 </w:t>
      </w:r>
      <w:r>
        <w:rPr>
          <w:color w:val="auto"/>
          <w:highlight w:val="none"/>
        </w:rPr>
        <w:t>管理</w:t>
      </w:r>
      <w:r>
        <w:rPr>
          <w:rFonts w:hint="eastAsia"/>
          <w:color w:val="auto"/>
          <w:highlight w:val="none"/>
        </w:rPr>
        <w:t>机构</w:t>
      </w:r>
      <w:bookmarkEnd w:id="575"/>
      <w:bookmarkEnd w:id="576"/>
      <w:bookmarkEnd w:id="577"/>
    </w:p>
    <w:p>
      <w:pPr>
        <w:pStyle w:val="335"/>
        <w:spacing w:before="156" w:after="156"/>
        <w:rPr>
          <w:color w:val="auto"/>
          <w:highlight w:val="none"/>
        </w:rPr>
      </w:pPr>
      <w:bookmarkStart w:id="578" w:name="_Toc536295259"/>
      <w:r>
        <w:rPr>
          <w:rFonts w:hint="eastAsia"/>
          <w:color w:val="auto"/>
          <w:highlight w:val="none"/>
          <w:lang w:val="en-US" w:eastAsia="zh-CN"/>
        </w:rPr>
        <w:t>13</w:t>
      </w:r>
      <w:r>
        <w:rPr>
          <w:rFonts w:hint="eastAsia"/>
          <w:color w:val="auto"/>
          <w:highlight w:val="none"/>
        </w:rPr>
        <w:t xml:space="preserve">.1.1 </w:t>
      </w:r>
      <w:r>
        <w:rPr>
          <w:color w:val="auto"/>
          <w:highlight w:val="none"/>
        </w:rPr>
        <w:t>管理机构及人员</w:t>
      </w:r>
      <w:bookmarkEnd w:id="578"/>
    </w:p>
    <w:p>
      <w:pPr>
        <w:ind w:firstLine="480"/>
        <w:rPr>
          <w:color w:val="auto"/>
          <w:highlight w:val="none"/>
        </w:rPr>
      </w:pPr>
      <w:bookmarkStart w:id="579" w:name="OLE_LINK16"/>
      <w:r>
        <w:rPr>
          <w:rFonts w:hint="eastAsia"/>
          <w:color w:val="auto"/>
          <w:highlight w:val="none"/>
        </w:rPr>
        <w:t>从化区温泉镇南大水库灌区</w:t>
      </w:r>
      <w:r>
        <w:rPr>
          <w:rFonts w:hint="eastAsia"/>
          <w:color w:val="auto"/>
          <w:highlight w:val="none"/>
          <w:lang w:eastAsia="zh-CN"/>
        </w:rPr>
        <w:t>属从化区温泉镇人民政府管理，</w:t>
      </w:r>
      <w:r>
        <w:rPr>
          <w:rFonts w:hint="eastAsia"/>
          <w:color w:val="auto"/>
          <w:highlight w:val="none"/>
        </w:rPr>
        <w:t>本次设计维持现状管理单位不变，且保留现有管理人员，不新增人员编制。</w:t>
      </w:r>
    </w:p>
    <w:p>
      <w:pPr>
        <w:pStyle w:val="335"/>
        <w:spacing w:before="156" w:after="156"/>
        <w:rPr>
          <w:color w:val="auto"/>
          <w:highlight w:val="none"/>
        </w:rPr>
      </w:pPr>
      <w:bookmarkStart w:id="580" w:name="_Toc536295260"/>
      <w:r>
        <w:rPr>
          <w:rFonts w:hint="eastAsia"/>
          <w:color w:val="auto"/>
          <w:highlight w:val="none"/>
          <w:lang w:val="en-US" w:eastAsia="zh-CN"/>
        </w:rPr>
        <w:t>13</w:t>
      </w:r>
      <w:r>
        <w:rPr>
          <w:rFonts w:hint="eastAsia"/>
          <w:color w:val="auto"/>
          <w:highlight w:val="none"/>
        </w:rPr>
        <w:t>.1.2 生产、生活用房的规模</w:t>
      </w:r>
      <w:bookmarkEnd w:id="580"/>
    </w:p>
    <w:p>
      <w:pPr>
        <w:ind w:firstLine="480"/>
        <w:rPr>
          <w:color w:val="auto"/>
          <w:highlight w:val="none"/>
        </w:rPr>
      </w:pPr>
      <w:r>
        <w:rPr>
          <w:rFonts w:hint="eastAsia"/>
          <w:color w:val="auto"/>
          <w:highlight w:val="none"/>
        </w:rPr>
        <w:t>本次设计维持现状管理单位不变，且保留现有管理人员，不新增人员编制。根据调查了解，</w:t>
      </w:r>
      <w:r>
        <w:rPr>
          <w:rFonts w:hint="eastAsia"/>
          <w:color w:val="auto"/>
          <w:highlight w:val="none"/>
          <w:lang w:eastAsia="zh-CN"/>
        </w:rPr>
        <w:t>温泉镇人民政府</w:t>
      </w:r>
      <w:r>
        <w:rPr>
          <w:rFonts w:hint="eastAsia"/>
          <w:color w:val="auto"/>
          <w:highlight w:val="none"/>
        </w:rPr>
        <w:t>所现有</w:t>
      </w:r>
      <w:r>
        <w:rPr>
          <w:rFonts w:hint="eastAsia"/>
          <w:color w:val="auto"/>
          <w:kern w:val="0"/>
          <w:highlight w:val="none"/>
          <w:lang w:bidi="en-US"/>
        </w:rPr>
        <w:t>生产、生活用房</w:t>
      </w:r>
      <w:r>
        <w:rPr>
          <w:rFonts w:hint="eastAsia"/>
          <w:color w:val="auto"/>
          <w:highlight w:val="none"/>
        </w:rPr>
        <w:t>现状完好，能满足要求，因此，不再新建管理用房。</w:t>
      </w:r>
    </w:p>
    <w:bookmarkEnd w:id="579"/>
    <w:p>
      <w:pPr>
        <w:pStyle w:val="3"/>
        <w:rPr>
          <w:color w:val="auto"/>
          <w:highlight w:val="none"/>
        </w:rPr>
      </w:pPr>
      <w:bookmarkStart w:id="581" w:name="_Toc536295261"/>
      <w:bookmarkStart w:id="582" w:name="_Toc415834300"/>
      <w:bookmarkStart w:id="583" w:name="_Toc9286"/>
      <w:r>
        <w:rPr>
          <w:rFonts w:hint="eastAsia"/>
          <w:color w:val="auto"/>
          <w:highlight w:val="none"/>
          <w:lang w:val="en-US" w:eastAsia="zh-CN"/>
        </w:rPr>
        <w:t>13</w:t>
      </w:r>
      <w:r>
        <w:rPr>
          <w:rFonts w:hint="eastAsia"/>
          <w:color w:val="auto"/>
          <w:highlight w:val="none"/>
        </w:rPr>
        <w:t xml:space="preserve">.2 </w:t>
      </w:r>
      <w:r>
        <w:rPr>
          <w:color w:val="auto"/>
          <w:highlight w:val="none"/>
        </w:rPr>
        <w:t>管理</w:t>
      </w:r>
      <w:r>
        <w:rPr>
          <w:rFonts w:hint="eastAsia"/>
          <w:color w:val="auto"/>
          <w:highlight w:val="none"/>
        </w:rPr>
        <w:t>办法</w:t>
      </w:r>
      <w:bookmarkEnd w:id="581"/>
      <w:bookmarkEnd w:id="582"/>
      <w:bookmarkEnd w:id="583"/>
    </w:p>
    <w:p>
      <w:pPr>
        <w:pStyle w:val="335"/>
        <w:spacing w:before="156" w:after="156"/>
        <w:rPr>
          <w:color w:val="auto"/>
          <w:highlight w:val="none"/>
        </w:rPr>
      </w:pPr>
      <w:bookmarkStart w:id="584" w:name="_Toc536295262"/>
      <w:r>
        <w:rPr>
          <w:rFonts w:hint="eastAsia"/>
          <w:color w:val="auto"/>
          <w:highlight w:val="none"/>
          <w:lang w:val="en-US" w:eastAsia="zh-CN"/>
        </w:rPr>
        <w:t>13</w:t>
      </w:r>
      <w:r>
        <w:rPr>
          <w:rFonts w:hint="eastAsia"/>
          <w:color w:val="auto"/>
          <w:highlight w:val="none"/>
        </w:rPr>
        <w:t>.2.1 管理办法</w:t>
      </w:r>
      <w:bookmarkEnd w:id="584"/>
    </w:p>
    <w:p>
      <w:pPr>
        <w:ind w:firstLine="480"/>
        <w:rPr>
          <w:color w:val="auto"/>
          <w:highlight w:val="none"/>
        </w:rPr>
      </w:pPr>
      <w:r>
        <w:rPr>
          <w:rFonts w:hint="eastAsia"/>
          <w:color w:val="auto"/>
          <w:highlight w:val="none"/>
        </w:rPr>
        <w:t>为落实国家水利产业政策，大力发展节水农业，逐步建立符合社会主义市场经济体制要求的经营体制和运行机制，提高综合效益和社会效益。通过节水增产增收，促进农业生产合理布局，建设高产、稳产、优质、高效的农业，有必要对</w:t>
      </w:r>
      <w:r>
        <w:rPr>
          <w:rFonts w:hint="eastAsia"/>
          <w:color w:val="auto"/>
          <w:highlight w:val="none"/>
          <w:lang w:eastAsia="zh-CN"/>
        </w:rPr>
        <w:t>南大水库灌区</w:t>
      </w:r>
      <w:r>
        <w:rPr>
          <w:rFonts w:hint="eastAsia"/>
          <w:color w:val="auto"/>
          <w:highlight w:val="none"/>
        </w:rPr>
        <w:t>加强管理。</w:t>
      </w:r>
    </w:p>
    <w:p>
      <w:pPr>
        <w:ind w:firstLine="480"/>
        <w:rPr>
          <w:color w:val="auto"/>
          <w:highlight w:val="none"/>
        </w:rPr>
      </w:pPr>
      <w:r>
        <w:rPr>
          <w:rFonts w:hint="eastAsia"/>
          <w:color w:val="auto"/>
          <w:highlight w:val="none"/>
        </w:rPr>
        <w:t>（1）进一步建立健全工程管理制度。按分级管理的原则，划定</w:t>
      </w:r>
      <w:r>
        <w:rPr>
          <w:rFonts w:hint="eastAsia"/>
          <w:color w:val="auto"/>
          <w:highlight w:val="none"/>
          <w:lang w:eastAsia="zh-CN"/>
        </w:rPr>
        <w:t>南大水库灌区</w:t>
      </w:r>
      <w:r>
        <w:rPr>
          <w:rFonts w:hint="eastAsia"/>
          <w:color w:val="auto"/>
          <w:highlight w:val="none"/>
        </w:rPr>
        <w:t>工程的管理范围，实行管理单位和人员的岗位责任制，负责管理区、段内的渠堤及工程配套设施的经常检查、观测、维修养护、防汛工作，并定期考核。同时，有计划地针对全体管理人员进行业务、技能等培训工作，提高全体管理人员的业务素质，增强管理能力，确保工程的完整和安全。</w:t>
      </w:r>
    </w:p>
    <w:p>
      <w:pPr>
        <w:ind w:firstLine="480"/>
        <w:rPr>
          <w:color w:val="auto"/>
          <w:highlight w:val="none"/>
        </w:rPr>
      </w:pPr>
      <w:r>
        <w:rPr>
          <w:rFonts w:hint="eastAsia"/>
          <w:color w:val="auto"/>
          <w:highlight w:val="none"/>
        </w:rPr>
        <w:t>（2）实行计划供水。新庄水利管理所根据</w:t>
      </w:r>
      <w:r>
        <w:rPr>
          <w:rFonts w:hint="eastAsia"/>
          <w:color w:val="auto"/>
          <w:highlight w:val="none"/>
          <w:lang w:eastAsia="zh-CN"/>
        </w:rPr>
        <w:t>南大水库灌区</w:t>
      </w:r>
      <w:r>
        <w:rPr>
          <w:rFonts w:hint="eastAsia"/>
          <w:color w:val="auto"/>
          <w:highlight w:val="none"/>
        </w:rPr>
        <w:t>内灌溉面积、作物组成、土质情况、交接远近等，把水量逐级分配给各村镇、渠道使用。调度水量实行水权统一、合理调配的原则，干渠内水权统一在水利管理所，支渠由乡镇负责，斗毛渠由受益村和农户负责。各渠道的灌溉或排洪涵闸，其放水灌溉、排洪的涵闸启闭权，在各级负责管理范围内由专职管理人员行使职权，任何人不得干涉。</w:t>
      </w:r>
    </w:p>
    <w:p>
      <w:pPr>
        <w:ind w:firstLine="480"/>
        <w:rPr>
          <w:color w:val="auto"/>
          <w:highlight w:val="none"/>
        </w:rPr>
      </w:pPr>
      <w:r>
        <w:rPr>
          <w:rFonts w:hint="eastAsia"/>
          <w:color w:val="auto"/>
          <w:highlight w:val="none"/>
        </w:rPr>
        <w:t>（3）建立健全农村用水合作组织。通过在政策、资金、技术等方面积极扶持，全市农村大力发展农民用水户协会组织，切实抓好农村末级渠道的管护工作，保证供水和用水协调。要以水源为依托，以渠道为网络，以用水受益户为主体，坚持互助合作、自主管理、自我服务为原则，充分发挥农民用水户协会的自主维护田间渠道、自主收缴税费等作用。协会的水管员要选择热爱水利工作，有责任心，能够承担水利各项工作任务的村民担任。</w:t>
      </w:r>
    </w:p>
    <w:p>
      <w:pPr>
        <w:pStyle w:val="335"/>
        <w:spacing w:before="156" w:after="156"/>
        <w:rPr>
          <w:color w:val="auto"/>
          <w:highlight w:val="none"/>
        </w:rPr>
      </w:pPr>
      <w:bookmarkStart w:id="585" w:name="_Toc536295263"/>
      <w:r>
        <w:rPr>
          <w:rFonts w:hint="eastAsia"/>
          <w:color w:val="auto"/>
          <w:highlight w:val="none"/>
          <w:lang w:val="en-US" w:eastAsia="zh-CN"/>
        </w:rPr>
        <w:t>13</w:t>
      </w:r>
      <w:r>
        <w:rPr>
          <w:rFonts w:hint="eastAsia"/>
          <w:color w:val="auto"/>
          <w:highlight w:val="none"/>
        </w:rPr>
        <w:t>.2.2 管理职责</w:t>
      </w:r>
      <w:bookmarkEnd w:id="585"/>
    </w:p>
    <w:p>
      <w:pPr>
        <w:ind w:firstLine="480"/>
        <w:rPr>
          <w:color w:val="auto"/>
          <w:highlight w:val="none"/>
        </w:rPr>
      </w:pPr>
      <w:r>
        <w:rPr>
          <w:rFonts w:hint="eastAsia"/>
          <w:color w:val="auto"/>
          <w:highlight w:val="none"/>
        </w:rPr>
        <w:t>根据有关规定，结合工程的实际情况，制订相应的管理制度，</w:t>
      </w:r>
      <w:r>
        <w:rPr>
          <w:rFonts w:hint="eastAsia"/>
          <w:color w:val="auto"/>
          <w:highlight w:val="none"/>
          <w:lang w:eastAsia="zh-CN"/>
        </w:rPr>
        <w:t>南大水库灌区</w:t>
      </w:r>
      <w:r>
        <w:rPr>
          <w:rFonts w:hint="eastAsia"/>
          <w:color w:val="auto"/>
          <w:highlight w:val="none"/>
        </w:rPr>
        <w:t>的管理单位：新庄水利管理所具体工作职责为：</w:t>
      </w:r>
    </w:p>
    <w:p>
      <w:pPr>
        <w:ind w:firstLine="480"/>
        <w:rPr>
          <w:color w:val="auto"/>
          <w:highlight w:val="none"/>
        </w:rPr>
      </w:pPr>
      <w:r>
        <w:rPr>
          <w:rFonts w:hint="eastAsia"/>
          <w:color w:val="auto"/>
          <w:highlight w:val="none"/>
        </w:rPr>
        <w:t>（1）负责灌渠工程设施的日常运行管理。</w:t>
      </w:r>
    </w:p>
    <w:p>
      <w:pPr>
        <w:ind w:firstLine="480"/>
        <w:rPr>
          <w:color w:val="auto"/>
          <w:highlight w:val="none"/>
        </w:rPr>
      </w:pPr>
      <w:r>
        <w:rPr>
          <w:rFonts w:hint="eastAsia"/>
          <w:color w:val="auto"/>
          <w:highlight w:val="none"/>
        </w:rPr>
        <w:t>（2）根据测定的用水定额，制定供水计划和制度，按计划实行用水调度，积极推行节约和科学用水。</w:t>
      </w:r>
    </w:p>
    <w:p>
      <w:pPr>
        <w:ind w:firstLine="480"/>
        <w:rPr>
          <w:color w:val="auto"/>
          <w:highlight w:val="none"/>
        </w:rPr>
      </w:pPr>
      <w:r>
        <w:rPr>
          <w:rFonts w:hint="eastAsia"/>
          <w:color w:val="auto"/>
          <w:highlight w:val="none"/>
        </w:rPr>
        <w:t>（3）协助镇、村水管人员调解水事纠纷。</w:t>
      </w:r>
    </w:p>
    <w:p>
      <w:pPr>
        <w:ind w:firstLine="480"/>
        <w:rPr>
          <w:color w:val="auto"/>
          <w:highlight w:val="none"/>
        </w:rPr>
      </w:pPr>
      <w:r>
        <w:rPr>
          <w:rFonts w:hint="eastAsia"/>
          <w:color w:val="auto"/>
          <w:highlight w:val="none"/>
        </w:rPr>
        <w:t>（4）定期进行工程检查和养护，组织渠道清理及建筑物的维修。</w:t>
      </w:r>
    </w:p>
    <w:p>
      <w:pPr>
        <w:ind w:firstLine="480"/>
        <w:rPr>
          <w:color w:val="auto"/>
          <w:highlight w:val="none"/>
        </w:rPr>
      </w:pPr>
      <w:r>
        <w:rPr>
          <w:rFonts w:hint="eastAsia"/>
          <w:color w:val="auto"/>
          <w:highlight w:val="none"/>
        </w:rPr>
        <w:t>（5</w:t>
      </w:r>
      <w:r>
        <w:rPr>
          <w:color w:val="auto"/>
          <w:highlight w:val="none"/>
        </w:rPr>
        <w:t>）</w:t>
      </w:r>
      <w:r>
        <w:rPr>
          <w:rFonts w:hint="eastAsia"/>
          <w:color w:val="auto"/>
          <w:highlight w:val="none"/>
        </w:rPr>
        <w:t>维护</w:t>
      </w:r>
      <w:r>
        <w:rPr>
          <w:rFonts w:hint="eastAsia"/>
          <w:color w:val="auto"/>
          <w:highlight w:val="none"/>
          <w:lang w:eastAsia="zh-CN"/>
        </w:rPr>
        <w:t>南大水库灌区</w:t>
      </w:r>
      <w:r>
        <w:rPr>
          <w:rFonts w:hint="eastAsia"/>
          <w:color w:val="auto"/>
          <w:highlight w:val="none"/>
        </w:rPr>
        <w:t>各管养房、渠堤地界权属，保护水利工程设施，爱护公共财物，做好环境卫生的绿化、美化工作。</w:t>
      </w:r>
    </w:p>
    <w:p>
      <w:pPr>
        <w:ind w:firstLine="480"/>
        <w:rPr>
          <w:color w:val="auto"/>
          <w:highlight w:val="none"/>
        </w:rPr>
      </w:pPr>
      <w:r>
        <w:rPr>
          <w:rFonts w:hint="eastAsia"/>
          <w:color w:val="auto"/>
          <w:highlight w:val="none"/>
        </w:rPr>
        <w:t>（6）做好工程运行和观测检查记录。</w:t>
      </w:r>
    </w:p>
    <w:p>
      <w:pPr>
        <w:pStyle w:val="3"/>
        <w:rPr>
          <w:color w:val="auto"/>
          <w:highlight w:val="none"/>
        </w:rPr>
      </w:pPr>
      <w:bookmarkStart w:id="586" w:name="_Toc536295264"/>
      <w:bookmarkStart w:id="587" w:name="_Toc404766574"/>
      <w:bookmarkStart w:id="588" w:name="_Toc27028"/>
      <w:r>
        <w:rPr>
          <w:rFonts w:hint="eastAsia"/>
          <w:color w:val="auto"/>
          <w:highlight w:val="none"/>
          <w:lang w:val="en-US" w:eastAsia="zh-CN"/>
        </w:rPr>
        <w:t>13</w:t>
      </w:r>
      <w:r>
        <w:rPr>
          <w:rFonts w:hint="eastAsia"/>
          <w:color w:val="auto"/>
          <w:highlight w:val="none"/>
        </w:rPr>
        <w:t>.3 工程管理和保护区范围</w:t>
      </w:r>
      <w:bookmarkEnd w:id="586"/>
      <w:bookmarkEnd w:id="587"/>
      <w:bookmarkEnd w:id="588"/>
    </w:p>
    <w:p>
      <w:pPr>
        <w:pStyle w:val="335"/>
        <w:spacing w:before="156" w:after="156"/>
        <w:rPr>
          <w:color w:val="auto"/>
          <w:highlight w:val="none"/>
        </w:rPr>
      </w:pPr>
      <w:bookmarkStart w:id="589" w:name="_Toc536295265"/>
      <w:r>
        <w:rPr>
          <w:rFonts w:hint="eastAsia"/>
          <w:color w:val="auto"/>
          <w:highlight w:val="none"/>
          <w:lang w:val="en-US" w:eastAsia="zh-CN"/>
        </w:rPr>
        <w:t>13</w:t>
      </w:r>
      <w:r>
        <w:rPr>
          <w:rFonts w:hint="eastAsia"/>
          <w:color w:val="auto"/>
          <w:highlight w:val="none"/>
        </w:rPr>
        <w:t>.3.1 工程管理范围</w:t>
      </w:r>
      <w:bookmarkEnd w:id="589"/>
      <w:r>
        <w:rPr>
          <w:color w:val="auto"/>
          <w:highlight w:val="none"/>
        </w:rPr>
        <w:t xml:space="preserve"> </w:t>
      </w:r>
    </w:p>
    <w:p>
      <w:pPr>
        <w:ind w:firstLine="480"/>
        <w:rPr>
          <w:color w:val="auto"/>
          <w:highlight w:val="none"/>
        </w:rPr>
      </w:pPr>
      <w:r>
        <w:rPr>
          <w:rFonts w:hint="eastAsia"/>
          <w:color w:val="auto"/>
          <w:highlight w:val="none"/>
        </w:rPr>
        <w:t>根据《广东省水利工程管理条例》及《</w:t>
      </w:r>
      <w:r>
        <w:rPr>
          <w:rFonts w:hint="eastAsia"/>
          <w:color w:val="auto"/>
          <w:highlight w:val="none"/>
          <w:lang w:eastAsia="zh-CN"/>
        </w:rPr>
        <w:t>从化区水务管理办法</w:t>
      </w:r>
      <w:r>
        <w:rPr>
          <w:rFonts w:hint="eastAsia"/>
          <w:color w:val="auto"/>
          <w:highlight w:val="none"/>
        </w:rPr>
        <w:t>》，结合灌渠实际，确定灌渠工程管理范围包括：</w:t>
      </w:r>
    </w:p>
    <w:p>
      <w:pPr>
        <w:ind w:firstLine="480"/>
        <w:rPr>
          <w:color w:val="auto"/>
          <w:highlight w:val="none"/>
        </w:rPr>
      </w:pPr>
      <w:r>
        <w:rPr>
          <w:rFonts w:hint="eastAsia"/>
          <w:color w:val="auto"/>
          <w:highlight w:val="none"/>
        </w:rPr>
        <w:t>渠道管理范围：主要建筑物占地范围及周边50米，渠道为左、右外边坡脚线或渠道左、右开挖线之间的用地范围。</w:t>
      </w:r>
    </w:p>
    <w:p>
      <w:pPr>
        <w:ind w:firstLine="480"/>
        <w:rPr>
          <w:color w:val="auto"/>
          <w:highlight w:val="none"/>
        </w:rPr>
      </w:pPr>
      <w:r>
        <w:rPr>
          <w:rFonts w:hint="eastAsia"/>
          <w:color w:val="auto"/>
          <w:highlight w:val="none"/>
        </w:rPr>
        <w:t>在工程管理范围内，其土地由国家征用，土地使用权归工程管理机构，任何单位及个人不得侵占。</w:t>
      </w:r>
    </w:p>
    <w:p>
      <w:pPr>
        <w:pStyle w:val="335"/>
        <w:spacing w:before="156" w:after="156"/>
        <w:rPr>
          <w:color w:val="auto"/>
          <w:highlight w:val="none"/>
        </w:rPr>
      </w:pPr>
      <w:bookmarkStart w:id="590" w:name="_Toc536295266"/>
      <w:r>
        <w:rPr>
          <w:rFonts w:hint="eastAsia"/>
          <w:color w:val="auto"/>
          <w:highlight w:val="none"/>
          <w:lang w:val="en-US" w:eastAsia="zh-CN"/>
        </w:rPr>
        <w:t>13</w:t>
      </w:r>
      <w:r>
        <w:rPr>
          <w:rFonts w:hint="eastAsia"/>
          <w:color w:val="auto"/>
          <w:highlight w:val="none"/>
        </w:rPr>
        <w:t>.3.2 工程保护范围</w:t>
      </w:r>
      <w:bookmarkEnd w:id="590"/>
    </w:p>
    <w:p>
      <w:pPr>
        <w:ind w:firstLine="480"/>
        <w:rPr>
          <w:color w:val="auto"/>
          <w:highlight w:val="none"/>
        </w:rPr>
      </w:pPr>
      <w:r>
        <w:rPr>
          <w:color w:val="auto"/>
          <w:highlight w:val="none"/>
        </w:rPr>
        <w:t xml:space="preserve"> </w:t>
      </w:r>
      <w:r>
        <w:rPr>
          <w:rFonts w:hint="eastAsia"/>
          <w:color w:val="auto"/>
          <w:highlight w:val="none"/>
        </w:rPr>
        <w:t>工程保护范围在工程管理范围边界线上外延，灌区的工程区、生产区的主体建筑物在水利工程管理范围边界外延200米，其他附属建筑物50米；中型渠道10米，小型渠道5米。</w:t>
      </w:r>
    </w:p>
    <w:p>
      <w:pPr>
        <w:ind w:firstLine="480"/>
        <w:rPr>
          <w:color w:val="auto"/>
          <w:highlight w:val="none"/>
        </w:rPr>
      </w:pPr>
      <w:r>
        <w:rPr>
          <w:rFonts w:hint="eastAsia"/>
          <w:color w:val="auto"/>
          <w:highlight w:val="none"/>
        </w:rPr>
        <w:t>在工程保护范围内，不征用土地，土地及土地上附着物的所有权及使用权维持现状不变，但不得从事危及水利工程安全及污染水质的爆破、打井、采石（砂）、取土、陡坡开荒、伐木、开矿、堆放或排放污染物等活动。</w:t>
      </w:r>
    </w:p>
    <w:p>
      <w:pPr>
        <w:pStyle w:val="3"/>
        <w:rPr>
          <w:color w:val="auto"/>
          <w:highlight w:val="none"/>
        </w:rPr>
      </w:pPr>
      <w:bookmarkStart w:id="591" w:name="_Toc536295267"/>
      <w:bookmarkStart w:id="592" w:name="_Toc404766575"/>
      <w:bookmarkStart w:id="593" w:name="_Toc20362"/>
      <w:r>
        <w:rPr>
          <w:rFonts w:hint="eastAsia"/>
          <w:color w:val="auto"/>
          <w:highlight w:val="none"/>
          <w:lang w:val="en-US" w:eastAsia="zh-CN"/>
        </w:rPr>
        <w:t>13</w:t>
      </w:r>
      <w:r>
        <w:rPr>
          <w:rFonts w:hint="eastAsia"/>
          <w:color w:val="auto"/>
          <w:highlight w:val="none"/>
        </w:rPr>
        <w:t>.4 工程管理设施</w:t>
      </w:r>
      <w:bookmarkEnd w:id="591"/>
      <w:bookmarkEnd w:id="592"/>
      <w:bookmarkEnd w:id="593"/>
    </w:p>
    <w:p>
      <w:pPr>
        <w:pStyle w:val="335"/>
        <w:spacing w:before="156" w:after="156"/>
        <w:rPr>
          <w:color w:val="auto"/>
          <w:highlight w:val="none"/>
        </w:rPr>
      </w:pPr>
      <w:bookmarkStart w:id="594" w:name="_Toc536295269"/>
      <w:r>
        <w:rPr>
          <w:rFonts w:hint="eastAsia"/>
          <w:color w:val="auto"/>
          <w:highlight w:val="none"/>
          <w:lang w:val="en-US" w:eastAsia="zh-CN"/>
        </w:rPr>
        <w:t>13</w:t>
      </w:r>
      <w:r>
        <w:rPr>
          <w:rFonts w:hint="eastAsia"/>
          <w:color w:val="auto"/>
          <w:highlight w:val="none"/>
        </w:rPr>
        <w:t>.4.</w:t>
      </w:r>
      <w:r>
        <w:rPr>
          <w:rFonts w:hint="eastAsia"/>
          <w:color w:val="auto"/>
          <w:highlight w:val="none"/>
          <w:lang w:val="en-US" w:eastAsia="zh-CN"/>
        </w:rPr>
        <w:t>1</w:t>
      </w:r>
      <w:r>
        <w:rPr>
          <w:rFonts w:hint="eastAsia"/>
          <w:color w:val="auto"/>
          <w:highlight w:val="none"/>
        </w:rPr>
        <w:t xml:space="preserve"> 量水设施</w:t>
      </w:r>
      <w:bookmarkEnd w:id="594"/>
    </w:p>
    <w:p>
      <w:pPr>
        <w:ind w:firstLine="480"/>
        <w:rPr>
          <w:color w:val="auto"/>
          <w:highlight w:val="none"/>
        </w:rPr>
      </w:pPr>
      <w:r>
        <w:rPr>
          <w:rFonts w:hint="eastAsia"/>
          <w:color w:val="auto"/>
          <w:highlight w:val="none"/>
        </w:rPr>
        <w:t>量水工作是渠道实施计划用水的一项必要措施。通过量水工作能按需求按计划地进行配水，达到节约用水的目的。</w:t>
      </w:r>
      <w:r>
        <w:rPr>
          <w:rFonts w:hint="eastAsia"/>
          <w:color w:val="auto"/>
          <w:highlight w:val="none"/>
          <w:lang w:eastAsia="zh-CN"/>
        </w:rPr>
        <w:t>南大水库灌区</w:t>
      </w:r>
      <w:r>
        <w:rPr>
          <w:rFonts w:hint="eastAsia"/>
          <w:color w:val="auto"/>
          <w:highlight w:val="none"/>
        </w:rPr>
        <w:t>渠首设有进水闸，各主要渠段进水口均设有分水闸，可在水闸上下游设置水尺。</w:t>
      </w:r>
    </w:p>
    <w:p>
      <w:pPr>
        <w:pStyle w:val="335"/>
        <w:spacing w:before="156" w:after="156"/>
        <w:rPr>
          <w:color w:val="auto"/>
          <w:highlight w:val="none"/>
        </w:rPr>
      </w:pPr>
      <w:bookmarkStart w:id="595" w:name="_Toc536295270"/>
      <w:r>
        <w:rPr>
          <w:rFonts w:hint="eastAsia"/>
          <w:color w:val="auto"/>
          <w:highlight w:val="none"/>
          <w:lang w:val="en-US" w:eastAsia="zh-CN"/>
        </w:rPr>
        <w:t>13</w:t>
      </w:r>
      <w:r>
        <w:rPr>
          <w:rFonts w:hint="eastAsia"/>
          <w:color w:val="auto"/>
          <w:highlight w:val="none"/>
        </w:rPr>
        <w:t>.4.</w:t>
      </w:r>
      <w:r>
        <w:rPr>
          <w:rFonts w:hint="eastAsia"/>
          <w:color w:val="auto"/>
          <w:highlight w:val="none"/>
          <w:lang w:val="en-US" w:eastAsia="zh-CN"/>
        </w:rPr>
        <w:t>2</w:t>
      </w:r>
      <w:r>
        <w:rPr>
          <w:rFonts w:hint="eastAsia"/>
          <w:color w:val="auto"/>
          <w:highlight w:val="none"/>
        </w:rPr>
        <w:t xml:space="preserve"> 交通工具</w:t>
      </w:r>
      <w:bookmarkEnd w:id="595"/>
    </w:p>
    <w:p>
      <w:pPr>
        <w:ind w:firstLine="480"/>
        <w:rPr>
          <w:color w:val="auto"/>
          <w:highlight w:val="none"/>
        </w:rPr>
      </w:pPr>
      <w:r>
        <w:rPr>
          <w:rFonts w:hint="eastAsia"/>
          <w:color w:val="auto"/>
          <w:highlight w:val="none"/>
        </w:rPr>
        <w:t>现状管护单位已有工程管理车辆，本次设计将保留使用不再重新设置。</w:t>
      </w:r>
    </w:p>
    <w:p>
      <w:pPr>
        <w:pStyle w:val="3"/>
        <w:rPr>
          <w:color w:val="auto"/>
          <w:highlight w:val="none"/>
        </w:rPr>
      </w:pPr>
      <w:bookmarkStart w:id="596" w:name="_Toc536295271"/>
      <w:bookmarkStart w:id="597" w:name="_Toc415834303"/>
      <w:bookmarkStart w:id="598" w:name="_Toc25722"/>
      <w:r>
        <w:rPr>
          <w:rFonts w:hint="eastAsia"/>
          <w:color w:val="auto"/>
          <w:highlight w:val="none"/>
          <w:lang w:val="en-US" w:eastAsia="zh-CN"/>
        </w:rPr>
        <w:t>13</w:t>
      </w:r>
      <w:r>
        <w:rPr>
          <w:rFonts w:hint="eastAsia"/>
          <w:color w:val="auto"/>
          <w:highlight w:val="none"/>
        </w:rPr>
        <w:t>.</w:t>
      </w:r>
      <w:r>
        <w:rPr>
          <w:rFonts w:hint="eastAsia"/>
          <w:color w:val="auto"/>
          <w:highlight w:val="none"/>
          <w:lang w:val="en-US" w:eastAsia="zh-CN"/>
        </w:rPr>
        <w:t>3</w:t>
      </w:r>
      <w:r>
        <w:rPr>
          <w:rFonts w:hint="eastAsia"/>
          <w:color w:val="auto"/>
          <w:highlight w:val="none"/>
        </w:rPr>
        <w:t xml:space="preserve"> 工程管理运行费用及资金来源</w:t>
      </w:r>
      <w:bookmarkEnd w:id="596"/>
      <w:bookmarkEnd w:id="597"/>
      <w:bookmarkEnd w:id="598"/>
    </w:p>
    <w:p>
      <w:pPr>
        <w:ind w:firstLine="480"/>
        <w:rPr>
          <w:color w:val="auto"/>
          <w:highlight w:val="none"/>
        </w:rPr>
      </w:pPr>
      <w:r>
        <w:rPr>
          <w:color w:val="auto"/>
          <w:highlight w:val="none"/>
        </w:rPr>
        <w:t>运行管理费用主要包括如下内容：</w:t>
      </w:r>
    </w:p>
    <w:p>
      <w:pPr>
        <w:ind w:firstLine="480"/>
        <w:rPr>
          <w:color w:val="auto"/>
          <w:highlight w:val="none"/>
        </w:rPr>
      </w:pPr>
      <w:r>
        <w:rPr>
          <w:rFonts w:hint="eastAsia"/>
          <w:color w:val="auto"/>
          <w:highlight w:val="none"/>
        </w:rPr>
        <w:t xml:space="preserve">1） </w:t>
      </w:r>
      <w:r>
        <w:rPr>
          <w:color w:val="auto"/>
          <w:highlight w:val="none"/>
        </w:rPr>
        <w:t>工资福利费：包括职工基本工资、补助工资、劳保福利费等；</w:t>
      </w:r>
    </w:p>
    <w:p>
      <w:pPr>
        <w:ind w:firstLine="480"/>
        <w:rPr>
          <w:color w:val="auto"/>
          <w:highlight w:val="none"/>
        </w:rPr>
      </w:pPr>
      <w:r>
        <w:rPr>
          <w:rFonts w:hint="eastAsia"/>
          <w:color w:val="auto"/>
          <w:highlight w:val="none"/>
        </w:rPr>
        <w:t xml:space="preserve">2） </w:t>
      </w:r>
      <w:r>
        <w:rPr>
          <w:color w:val="auto"/>
          <w:highlight w:val="none"/>
        </w:rPr>
        <w:t>材料、燃料及动力费：包括消耗的原材料、辅助材料、备用配件，燃料及动力费用；</w:t>
      </w:r>
    </w:p>
    <w:p>
      <w:pPr>
        <w:ind w:firstLine="480"/>
        <w:rPr>
          <w:color w:val="auto"/>
          <w:highlight w:val="none"/>
        </w:rPr>
      </w:pPr>
      <w:r>
        <w:rPr>
          <w:rFonts w:hint="eastAsia"/>
          <w:color w:val="auto"/>
          <w:highlight w:val="none"/>
        </w:rPr>
        <w:t xml:space="preserve">3） </w:t>
      </w:r>
      <w:r>
        <w:rPr>
          <w:color w:val="auto"/>
          <w:highlight w:val="none"/>
        </w:rPr>
        <w:t>工程维护费：包括堤防及附属建筑物的维修、养护费一般清淤及一般防汛经费；</w:t>
      </w:r>
    </w:p>
    <w:p>
      <w:pPr>
        <w:ind w:firstLine="480"/>
        <w:rPr>
          <w:color w:val="auto"/>
          <w:highlight w:val="none"/>
        </w:rPr>
      </w:pPr>
      <w:r>
        <w:rPr>
          <w:rFonts w:hint="eastAsia"/>
          <w:color w:val="auto"/>
          <w:highlight w:val="none"/>
        </w:rPr>
        <w:t xml:space="preserve">4） </w:t>
      </w:r>
      <w:r>
        <w:rPr>
          <w:color w:val="auto"/>
          <w:highlight w:val="none"/>
        </w:rPr>
        <w:t>其他直接费：包括技术开发费、工程观测试验费、小型机具更新改造费、白蚁、鼠患防治费等。</w:t>
      </w:r>
    </w:p>
    <w:p>
      <w:pPr>
        <w:ind w:firstLine="480"/>
        <w:rPr>
          <w:color w:val="auto"/>
          <w:highlight w:val="none"/>
        </w:rPr>
      </w:pPr>
      <w:r>
        <w:rPr>
          <w:rFonts w:hint="eastAsia"/>
          <w:color w:val="auto"/>
          <w:highlight w:val="none"/>
        </w:rPr>
        <w:t>工程运行管理费是对所建工程形成的固定资产实施有效管理、</w:t>
      </w:r>
      <w:r>
        <w:rPr>
          <w:color w:val="auto"/>
          <w:highlight w:val="none"/>
        </w:rPr>
        <w:t>保证工程正常运转的必要条件，</w:t>
      </w:r>
      <w:r>
        <w:rPr>
          <w:rFonts w:hint="eastAsia"/>
          <w:color w:val="auto"/>
          <w:highlight w:val="none"/>
        </w:rPr>
        <w:t>经测算，工程全部实施后，工程年运行管理费用为</w:t>
      </w:r>
      <w:r>
        <w:rPr>
          <w:rFonts w:hint="eastAsia"/>
          <w:color w:val="auto"/>
          <w:highlight w:val="none"/>
          <w:lang w:val="en-US" w:eastAsia="zh-CN"/>
        </w:rPr>
        <w:t>17</w:t>
      </w:r>
      <w:r>
        <w:rPr>
          <w:rFonts w:hint="eastAsia"/>
          <w:color w:val="auto"/>
          <w:highlight w:val="none"/>
        </w:rPr>
        <w:t>万元。</w:t>
      </w:r>
    </w:p>
    <w:p>
      <w:pPr>
        <w:pStyle w:val="333"/>
        <w:rPr>
          <w:color w:val="auto"/>
          <w:highlight w:val="none"/>
        </w:rPr>
      </w:pPr>
      <w:r>
        <w:rPr>
          <w:rFonts w:hint="eastAsia"/>
          <w:color w:val="auto"/>
          <w:highlight w:val="none"/>
        </w:rPr>
        <w:t>表</w:t>
      </w:r>
      <w:r>
        <w:rPr>
          <w:rFonts w:hint="eastAsia"/>
          <w:color w:val="auto"/>
          <w:highlight w:val="none"/>
          <w:lang w:val="en-US" w:eastAsia="zh-CN"/>
        </w:rPr>
        <w:t>13-</w:t>
      </w:r>
      <w:r>
        <w:rPr>
          <w:rFonts w:hint="eastAsia"/>
          <w:color w:val="auto"/>
          <w:highlight w:val="none"/>
        </w:rPr>
        <w:t xml:space="preserve">1  </w:t>
      </w:r>
      <w:r>
        <w:rPr>
          <w:rFonts w:hint="eastAsia"/>
          <w:color w:val="auto"/>
          <w:highlight w:val="none"/>
          <w:lang w:eastAsia="zh-CN"/>
        </w:rPr>
        <w:t>南大水库灌区</w:t>
      </w:r>
      <w:r>
        <w:rPr>
          <w:rFonts w:hint="eastAsia"/>
          <w:color w:val="auto"/>
          <w:highlight w:val="none"/>
        </w:rPr>
        <w:t>管理年运行费用表</w:t>
      </w:r>
    </w:p>
    <w:tbl>
      <w:tblPr>
        <w:tblStyle w:val="47"/>
        <w:tblW w:w="87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81"/>
        <w:gridCol w:w="2072"/>
        <w:gridCol w:w="1262"/>
        <w:gridCol w:w="19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481" w:type="dxa"/>
            <w:shd w:val="clear" w:color="auto" w:fill="auto"/>
            <w:vAlign w:val="center"/>
          </w:tcPr>
          <w:p>
            <w:pPr>
              <w:pStyle w:val="272"/>
              <w:rPr>
                <w:color w:val="auto"/>
                <w:highlight w:val="none"/>
              </w:rPr>
            </w:pPr>
            <w:r>
              <w:rPr>
                <w:rFonts w:hint="eastAsia"/>
                <w:color w:val="auto"/>
                <w:highlight w:val="none"/>
              </w:rPr>
              <w:t>项目</w:t>
            </w:r>
          </w:p>
        </w:tc>
        <w:tc>
          <w:tcPr>
            <w:tcW w:w="2072" w:type="dxa"/>
            <w:shd w:val="clear" w:color="auto" w:fill="auto"/>
            <w:vAlign w:val="center"/>
          </w:tcPr>
          <w:p>
            <w:pPr>
              <w:pStyle w:val="272"/>
              <w:rPr>
                <w:color w:val="auto"/>
                <w:highlight w:val="none"/>
              </w:rPr>
            </w:pPr>
            <w:r>
              <w:rPr>
                <w:rFonts w:hint="eastAsia"/>
                <w:color w:val="auto"/>
                <w:highlight w:val="none"/>
              </w:rPr>
              <w:t>单位</w:t>
            </w:r>
          </w:p>
        </w:tc>
        <w:tc>
          <w:tcPr>
            <w:tcW w:w="1262" w:type="dxa"/>
            <w:shd w:val="clear" w:color="auto" w:fill="auto"/>
            <w:vAlign w:val="center"/>
          </w:tcPr>
          <w:p>
            <w:pPr>
              <w:pStyle w:val="272"/>
              <w:rPr>
                <w:color w:val="auto"/>
                <w:highlight w:val="none"/>
              </w:rPr>
            </w:pPr>
            <w:r>
              <w:rPr>
                <w:rFonts w:hint="eastAsia"/>
                <w:color w:val="auto"/>
                <w:highlight w:val="none"/>
              </w:rPr>
              <w:t>数量</w:t>
            </w:r>
          </w:p>
          <w:p>
            <w:pPr>
              <w:pStyle w:val="272"/>
              <w:rPr>
                <w:color w:val="auto"/>
                <w:highlight w:val="none"/>
              </w:rPr>
            </w:pPr>
            <w:r>
              <w:rPr>
                <w:rFonts w:hint="eastAsia"/>
                <w:color w:val="auto"/>
                <w:highlight w:val="none"/>
              </w:rPr>
              <w:t>（人）</w:t>
            </w:r>
          </w:p>
        </w:tc>
        <w:tc>
          <w:tcPr>
            <w:tcW w:w="1949" w:type="dxa"/>
            <w:shd w:val="clear" w:color="auto" w:fill="auto"/>
            <w:vAlign w:val="center"/>
          </w:tcPr>
          <w:p>
            <w:pPr>
              <w:pStyle w:val="272"/>
              <w:rPr>
                <w:color w:val="auto"/>
                <w:highlight w:val="none"/>
              </w:rPr>
            </w:pPr>
            <w:r>
              <w:rPr>
                <w:rFonts w:hint="eastAsia"/>
                <w:color w:val="auto"/>
                <w:highlight w:val="none"/>
              </w:rPr>
              <w:t>年费用（万元）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481" w:type="dxa"/>
            <w:shd w:val="clear" w:color="auto" w:fill="auto"/>
            <w:vAlign w:val="center"/>
          </w:tcPr>
          <w:p>
            <w:pPr>
              <w:pStyle w:val="272"/>
              <w:rPr>
                <w:color w:val="auto"/>
                <w:highlight w:val="none"/>
              </w:rPr>
            </w:pPr>
            <w:r>
              <w:rPr>
                <w:rFonts w:hint="eastAsia"/>
                <w:color w:val="auto"/>
                <w:highlight w:val="none"/>
              </w:rPr>
              <w:t>1、工资及福利</w:t>
            </w:r>
          </w:p>
        </w:tc>
        <w:tc>
          <w:tcPr>
            <w:tcW w:w="2072" w:type="dxa"/>
            <w:shd w:val="clear" w:color="auto" w:fill="auto"/>
            <w:vAlign w:val="center"/>
          </w:tcPr>
          <w:p>
            <w:pPr>
              <w:pStyle w:val="272"/>
              <w:rPr>
                <w:color w:val="auto"/>
                <w:highlight w:val="none"/>
              </w:rPr>
            </w:pPr>
            <w:r>
              <w:rPr>
                <w:rFonts w:hint="eastAsia"/>
                <w:color w:val="auto"/>
                <w:highlight w:val="none"/>
              </w:rPr>
              <w:t>4万元/(人·年)</w:t>
            </w:r>
          </w:p>
        </w:tc>
        <w:tc>
          <w:tcPr>
            <w:tcW w:w="1262" w:type="dxa"/>
            <w:shd w:val="clear" w:color="auto" w:fill="auto"/>
            <w:vAlign w:val="center"/>
          </w:tcPr>
          <w:p>
            <w:pPr>
              <w:pStyle w:val="272"/>
              <w:rPr>
                <w:rFonts w:hint="eastAsia" w:eastAsia="宋体"/>
                <w:color w:val="auto"/>
                <w:highlight w:val="none"/>
                <w:lang w:eastAsia="zh-CN"/>
              </w:rPr>
            </w:pPr>
            <w:r>
              <w:rPr>
                <w:rFonts w:hint="eastAsia"/>
                <w:color w:val="auto"/>
                <w:highlight w:val="none"/>
                <w:lang w:val="en-US" w:eastAsia="zh-CN"/>
              </w:rPr>
              <w:t>2</w:t>
            </w:r>
          </w:p>
        </w:tc>
        <w:tc>
          <w:tcPr>
            <w:tcW w:w="1949" w:type="dxa"/>
            <w:shd w:val="clear" w:color="auto" w:fill="auto"/>
            <w:vAlign w:val="center"/>
          </w:tcPr>
          <w:p>
            <w:pPr>
              <w:pStyle w:val="272"/>
              <w:rPr>
                <w:rFonts w:hint="eastAsia" w:eastAsia="宋体"/>
                <w:color w:val="auto"/>
                <w:highlight w:val="none"/>
                <w:lang w:eastAsia="zh-CN"/>
              </w:rPr>
            </w:pPr>
            <w:r>
              <w:rPr>
                <w:rFonts w:hint="eastAsia"/>
                <w:color w:val="auto"/>
                <w:highlight w:val="none"/>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481" w:type="dxa"/>
            <w:shd w:val="clear" w:color="auto" w:fill="auto"/>
            <w:vAlign w:val="center"/>
          </w:tcPr>
          <w:p>
            <w:pPr>
              <w:pStyle w:val="272"/>
              <w:rPr>
                <w:color w:val="auto"/>
                <w:highlight w:val="none"/>
              </w:rPr>
            </w:pPr>
            <w:r>
              <w:rPr>
                <w:rFonts w:hint="eastAsia"/>
                <w:color w:val="auto"/>
                <w:highlight w:val="none"/>
              </w:rPr>
              <w:t>2、材料、燃料及动力费</w:t>
            </w:r>
          </w:p>
        </w:tc>
        <w:tc>
          <w:tcPr>
            <w:tcW w:w="2072" w:type="dxa"/>
            <w:shd w:val="clear" w:color="auto" w:fill="auto"/>
            <w:vAlign w:val="center"/>
          </w:tcPr>
          <w:p>
            <w:pPr>
              <w:pStyle w:val="272"/>
              <w:rPr>
                <w:color w:val="auto"/>
                <w:highlight w:val="none"/>
              </w:rPr>
            </w:pPr>
            <w:r>
              <w:rPr>
                <w:rFonts w:hint="eastAsia"/>
                <w:color w:val="auto"/>
                <w:highlight w:val="none"/>
                <w:lang w:val="en-US" w:eastAsia="zh-CN"/>
              </w:rPr>
              <w:t>2</w:t>
            </w:r>
            <w:r>
              <w:rPr>
                <w:rFonts w:hint="eastAsia"/>
                <w:color w:val="auto"/>
                <w:highlight w:val="none"/>
              </w:rPr>
              <w:t>万元/年</w:t>
            </w:r>
          </w:p>
        </w:tc>
        <w:tc>
          <w:tcPr>
            <w:tcW w:w="1262" w:type="dxa"/>
            <w:shd w:val="clear" w:color="auto" w:fill="auto"/>
            <w:vAlign w:val="center"/>
          </w:tcPr>
          <w:p>
            <w:pPr>
              <w:pStyle w:val="272"/>
              <w:rPr>
                <w:color w:val="auto"/>
                <w:highlight w:val="none"/>
              </w:rPr>
            </w:pPr>
          </w:p>
        </w:tc>
        <w:tc>
          <w:tcPr>
            <w:tcW w:w="1949" w:type="dxa"/>
            <w:shd w:val="clear" w:color="auto" w:fill="auto"/>
            <w:vAlign w:val="center"/>
          </w:tcPr>
          <w:p>
            <w:pPr>
              <w:pStyle w:val="272"/>
              <w:rPr>
                <w:rFonts w:hint="eastAsia" w:eastAsia="宋体"/>
                <w:color w:val="auto"/>
                <w:highlight w:val="none"/>
                <w:lang w:eastAsia="zh-CN"/>
              </w:rPr>
            </w:pPr>
            <w:r>
              <w:rPr>
                <w:rFonts w:hint="eastAsia"/>
                <w:color w:val="auto"/>
                <w:highlight w:val="no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481" w:type="dxa"/>
            <w:shd w:val="clear" w:color="auto" w:fill="auto"/>
            <w:vAlign w:val="center"/>
          </w:tcPr>
          <w:p>
            <w:pPr>
              <w:pStyle w:val="272"/>
              <w:rPr>
                <w:color w:val="auto"/>
                <w:highlight w:val="none"/>
              </w:rPr>
            </w:pPr>
            <w:r>
              <w:rPr>
                <w:rFonts w:hint="eastAsia"/>
                <w:color w:val="auto"/>
                <w:highlight w:val="none"/>
              </w:rPr>
              <w:t>3、工程维护费</w:t>
            </w:r>
          </w:p>
        </w:tc>
        <w:tc>
          <w:tcPr>
            <w:tcW w:w="2072" w:type="dxa"/>
            <w:shd w:val="clear" w:color="auto" w:fill="auto"/>
            <w:vAlign w:val="center"/>
          </w:tcPr>
          <w:p>
            <w:pPr>
              <w:pStyle w:val="272"/>
              <w:rPr>
                <w:color w:val="auto"/>
                <w:highlight w:val="none"/>
              </w:rPr>
            </w:pPr>
            <w:r>
              <w:rPr>
                <w:rFonts w:hint="eastAsia"/>
                <w:color w:val="auto"/>
                <w:highlight w:val="none"/>
                <w:lang w:val="en-US" w:eastAsia="zh-CN"/>
              </w:rPr>
              <w:t>2</w:t>
            </w:r>
            <w:r>
              <w:rPr>
                <w:rFonts w:hint="eastAsia"/>
                <w:color w:val="auto"/>
                <w:highlight w:val="none"/>
              </w:rPr>
              <w:t>万元/年</w:t>
            </w:r>
          </w:p>
        </w:tc>
        <w:tc>
          <w:tcPr>
            <w:tcW w:w="1262" w:type="dxa"/>
            <w:shd w:val="clear" w:color="auto" w:fill="auto"/>
            <w:vAlign w:val="center"/>
          </w:tcPr>
          <w:p>
            <w:pPr>
              <w:pStyle w:val="272"/>
              <w:rPr>
                <w:color w:val="auto"/>
                <w:highlight w:val="none"/>
              </w:rPr>
            </w:pPr>
          </w:p>
        </w:tc>
        <w:tc>
          <w:tcPr>
            <w:tcW w:w="1949" w:type="dxa"/>
            <w:shd w:val="clear" w:color="auto" w:fill="auto"/>
            <w:vAlign w:val="center"/>
          </w:tcPr>
          <w:p>
            <w:pPr>
              <w:pStyle w:val="272"/>
              <w:rPr>
                <w:rFonts w:hint="eastAsia" w:eastAsia="宋体"/>
                <w:color w:val="auto"/>
                <w:highlight w:val="none"/>
                <w:lang w:eastAsia="zh-CN"/>
              </w:rPr>
            </w:pPr>
            <w:r>
              <w:rPr>
                <w:rFonts w:hint="eastAsia"/>
                <w:color w:val="auto"/>
                <w:highlight w:val="no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481" w:type="dxa"/>
            <w:shd w:val="clear" w:color="auto" w:fill="auto"/>
            <w:vAlign w:val="center"/>
          </w:tcPr>
          <w:p>
            <w:pPr>
              <w:pStyle w:val="272"/>
              <w:rPr>
                <w:color w:val="auto"/>
                <w:highlight w:val="none"/>
              </w:rPr>
            </w:pPr>
            <w:r>
              <w:rPr>
                <w:rFonts w:hint="eastAsia"/>
                <w:color w:val="auto"/>
                <w:highlight w:val="none"/>
              </w:rPr>
              <w:t>4、其他直接费用</w:t>
            </w:r>
          </w:p>
        </w:tc>
        <w:tc>
          <w:tcPr>
            <w:tcW w:w="2072" w:type="dxa"/>
            <w:shd w:val="clear" w:color="auto" w:fill="auto"/>
            <w:vAlign w:val="center"/>
          </w:tcPr>
          <w:p>
            <w:pPr>
              <w:pStyle w:val="272"/>
              <w:rPr>
                <w:color w:val="auto"/>
                <w:highlight w:val="none"/>
              </w:rPr>
            </w:pPr>
            <w:r>
              <w:rPr>
                <w:rFonts w:hint="eastAsia"/>
                <w:color w:val="auto"/>
                <w:highlight w:val="none"/>
                <w:lang w:val="en-US" w:eastAsia="zh-CN"/>
              </w:rPr>
              <w:t>1</w:t>
            </w:r>
            <w:r>
              <w:rPr>
                <w:rFonts w:hint="eastAsia"/>
                <w:color w:val="auto"/>
                <w:highlight w:val="none"/>
              </w:rPr>
              <w:t>万元/年</w:t>
            </w:r>
          </w:p>
        </w:tc>
        <w:tc>
          <w:tcPr>
            <w:tcW w:w="1262" w:type="dxa"/>
            <w:shd w:val="clear" w:color="auto" w:fill="auto"/>
            <w:vAlign w:val="center"/>
          </w:tcPr>
          <w:p>
            <w:pPr>
              <w:pStyle w:val="272"/>
              <w:rPr>
                <w:color w:val="auto"/>
                <w:highlight w:val="none"/>
              </w:rPr>
            </w:pPr>
          </w:p>
        </w:tc>
        <w:tc>
          <w:tcPr>
            <w:tcW w:w="1949" w:type="dxa"/>
            <w:shd w:val="clear" w:color="auto" w:fill="auto"/>
            <w:vAlign w:val="center"/>
          </w:tcPr>
          <w:p>
            <w:pPr>
              <w:pStyle w:val="272"/>
              <w:rPr>
                <w:rFonts w:hint="eastAsia" w:eastAsia="宋体"/>
                <w:color w:val="auto"/>
                <w:highlight w:val="none"/>
                <w:lang w:eastAsia="zh-CN"/>
              </w:rPr>
            </w:pPr>
            <w:r>
              <w:rPr>
                <w:rFonts w:hint="eastAsia"/>
                <w:color w:val="auto"/>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481" w:type="dxa"/>
            <w:shd w:val="clear" w:color="auto" w:fill="auto"/>
            <w:vAlign w:val="center"/>
          </w:tcPr>
          <w:p>
            <w:pPr>
              <w:pStyle w:val="272"/>
              <w:rPr>
                <w:color w:val="auto"/>
                <w:highlight w:val="none"/>
              </w:rPr>
            </w:pPr>
            <w:r>
              <w:rPr>
                <w:rFonts w:hint="eastAsia"/>
                <w:color w:val="auto"/>
                <w:highlight w:val="none"/>
              </w:rPr>
              <w:t>5、管理费</w:t>
            </w:r>
          </w:p>
        </w:tc>
        <w:tc>
          <w:tcPr>
            <w:tcW w:w="2072" w:type="dxa"/>
            <w:shd w:val="clear" w:color="auto" w:fill="auto"/>
            <w:vAlign w:val="center"/>
          </w:tcPr>
          <w:p>
            <w:pPr>
              <w:pStyle w:val="272"/>
              <w:rPr>
                <w:color w:val="auto"/>
                <w:highlight w:val="none"/>
              </w:rPr>
            </w:pPr>
            <w:r>
              <w:rPr>
                <w:rFonts w:hint="eastAsia"/>
                <w:color w:val="auto"/>
                <w:highlight w:val="none"/>
              </w:rPr>
              <w:t>2万元/(人·年)</w:t>
            </w:r>
          </w:p>
        </w:tc>
        <w:tc>
          <w:tcPr>
            <w:tcW w:w="1262" w:type="dxa"/>
            <w:shd w:val="clear" w:color="auto" w:fill="auto"/>
            <w:vAlign w:val="center"/>
          </w:tcPr>
          <w:p>
            <w:pPr>
              <w:pStyle w:val="272"/>
              <w:rPr>
                <w:rFonts w:hint="eastAsia" w:eastAsia="宋体"/>
                <w:color w:val="auto"/>
                <w:highlight w:val="none"/>
                <w:lang w:eastAsia="zh-CN"/>
              </w:rPr>
            </w:pPr>
            <w:r>
              <w:rPr>
                <w:rFonts w:hint="eastAsia"/>
                <w:color w:val="auto"/>
                <w:highlight w:val="none"/>
                <w:lang w:val="en-US" w:eastAsia="zh-CN"/>
              </w:rPr>
              <w:t>2</w:t>
            </w:r>
          </w:p>
        </w:tc>
        <w:tc>
          <w:tcPr>
            <w:tcW w:w="1949" w:type="dxa"/>
            <w:shd w:val="clear" w:color="auto" w:fill="auto"/>
            <w:vAlign w:val="center"/>
          </w:tcPr>
          <w:p>
            <w:pPr>
              <w:pStyle w:val="272"/>
              <w:rPr>
                <w:rFonts w:hint="eastAsia" w:eastAsia="宋体"/>
                <w:color w:val="auto"/>
                <w:highlight w:val="none"/>
                <w:lang w:eastAsia="zh-CN"/>
              </w:rPr>
            </w:pPr>
            <w:r>
              <w:rPr>
                <w:rFonts w:hint="eastAsia"/>
                <w:color w:val="auto"/>
                <w:highlight w:val="no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481" w:type="dxa"/>
            <w:shd w:val="clear" w:color="auto" w:fill="auto"/>
            <w:vAlign w:val="center"/>
          </w:tcPr>
          <w:p>
            <w:pPr>
              <w:pStyle w:val="272"/>
              <w:rPr>
                <w:color w:val="auto"/>
                <w:highlight w:val="none"/>
              </w:rPr>
            </w:pPr>
            <w:r>
              <w:rPr>
                <w:rFonts w:hint="eastAsia"/>
                <w:color w:val="auto"/>
                <w:highlight w:val="none"/>
              </w:rPr>
              <w:t>合计</w:t>
            </w:r>
          </w:p>
        </w:tc>
        <w:tc>
          <w:tcPr>
            <w:tcW w:w="2072" w:type="dxa"/>
            <w:shd w:val="clear" w:color="auto" w:fill="auto"/>
            <w:vAlign w:val="center"/>
          </w:tcPr>
          <w:p>
            <w:pPr>
              <w:pStyle w:val="272"/>
              <w:rPr>
                <w:color w:val="auto"/>
                <w:highlight w:val="none"/>
              </w:rPr>
            </w:pPr>
          </w:p>
        </w:tc>
        <w:tc>
          <w:tcPr>
            <w:tcW w:w="1262" w:type="dxa"/>
            <w:shd w:val="clear" w:color="auto" w:fill="auto"/>
            <w:vAlign w:val="center"/>
          </w:tcPr>
          <w:p>
            <w:pPr>
              <w:pStyle w:val="272"/>
              <w:rPr>
                <w:color w:val="auto"/>
                <w:highlight w:val="none"/>
              </w:rPr>
            </w:pPr>
          </w:p>
        </w:tc>
        <w:tc>
          <w:tcPr>
            <w:tcW w:w="1949" w:type="dxa"/>
            <w:shd w:val="clear" w:color="auto" w:fill="auto"/>
            <w:vAlign w:val="center"/>
          </w:tcPr>
          <w:p>
            <w:pPr>
              <w:pStyle w:val="272"/>
              <w:rPr>
                <w:rFonts w:hint="eastAsia" w:eastAsia="宋体"/>
                <w:color w:val="auto"/>
                <w:highlight w:val="none"/>
                <w:lang w:eastAsia="zh-CN"/>
              </w:rPr>
            </w:pPr>
            <w:r>
              <w:rPr>
                <w:rFonts w:hint="eastAsia"/>
                <w:color w:val="auto"/>
                <w:highlight w:val="none"/>
                <w:lang w:val="en-US" w:eastAsia="zh-CN"/>
              </w:rPr>
              <w:t>17</w:t>
            </w:r>
          </w:p>
        </w:tc>
      </w:tr>
    </w:tbl>
    <w:p>
      <w:pPr>
        <w:ind w:firstLine="480"/>
        <w:rPr>
          <w:color w:val="auto"/>
          <w:highlight w:val="none"/>
        </w:rPr>
        <w:sectPr>
          <w:pgSz w:w="11906" w:h="16838"/>
          <w:pgMar w:top="1418" w:right="1644" w:bottom="1418" w:left="1701" w:header="851" w:footer="992" w:gutter="0"/>
          <w:pgBorders>
            <w:top w:val="none" w:sz="0" w:space="0"/>
            <w:left w:val="none" w:sz="0" w:space="0"/>
            <w:bottom w:val="none" w:sz="0" w:space="0"/>
            <w:right w:val="none" w:sz="0" w:space="0"/>
          </w:pgBorders>
          <w:pgNumType w:fmt="decimal"/>
          <w:cols w:space="720" w:num="1"/>
          <w:docGrid w:type="lines" w:linePitch="312" w:charSpace="0"/>
        </w:sectPr>
      </w:pPr>
    </w:p>
    <w:p>
      <w:pPr>
        <w:pStyle w:val="2"/>
        <w:keepNext w:val="0"/>
        <w:keepLines w:val="0"/>
        <w:pageBreakBefore/>
        <w:spacing w:before="156" w:beforeLines="50" w:after="156" w:afterLines="50" w:line="360" w:lineRule="auto"/>
        <w:ind w:firstLine="640"/>
        <w:rPr>
          <w:b/>
          <w:color w:val="auto"/>
          <w:szCs w:val="32"/>
          <w:highlight w:val="none"/>
        </w:rPr>
      </w:pPr>
      <w:bookmarkStart w:id="599" w:name="_Toc313949364"/>
      <w:bookmarkStart w:id="600" w:name="_Toc404766621"/>
      <w:bookmarkStart w:id="601" w:name="_Toc536295272"/>
      <w:bookmarkStart w:id="602" w:name="_Toc22499"/>
      <w:r>
        <w:rPr>
          <w:rFonts w:hint="eastAsia"/>
          <w:color w:val="auto"/>
          <w:szCs w:val="32"/>
          <w:highlight w:val="none"/>
          <w:lang w:val="en-US" w:eastAsia="zh-CN"/>
        </w:rPr>
        <w:t>14</w:t>
      </w:r>
      <w:r>
        <w:rPr>
          <w:rFonts w:hint="eastAsia"/>
          <w:color w:val="auto"/>
          <w:szCs w:val="32"/>
          <w:highlight w:val="none"/>
        </w:rPr>
        <w:t xml:space="preserve"> </w:t>
      </w:r>
      <w:bookmarkEnd w:id="599"/>
      <w:bookmarkEnd w:id="600"/>
      <w:bookmarkEnd w:id="601"/>
      <w:r>
        <w:rPr>
          <w:rFonts w:hint="eastAsia"/>
          <w:color w:val="auto"/>
          <w:szCs w:val="32"/>
          <w:highlight w:val="none"/>
          <w:lang w:val="en-US" w:eastAsia="zh-CN"/>
        </w:rPr>
        <w:t xml:space="preserve"> </w:t>
      </w:r>
      <w:r>
        <w:rPr>
          <w:rFonts w:hint="eastAsia"/>
          <w:b/>
          <w:color w:val="auto"/>
          <w:szCs w:val="32"/>
          <w:highlight w:val="none"/>
        </w:rPr>
        <w:t>设计概算</w:t>
      </w:r>
      <w:bookmarkEnd w:id="602"/>
    </w:p>
    <w:p>
      <w:pPr>
        <w:pStyle w:val="3"/>
        <w:rPr>
          <w:rFonts w:hint="eastAsia"/>
          <w:color w:val="auto"/>
          <w:highlight w:val="none"/>
        </w:rPr>
      </w:pPr>
      <w:bookmarkStart w:id="603" w:name="_Toc226446373"/>
      <w:bookmarkStart w:id="604" w:name="_Toc237275862"/>
      <w:bookmarkStart w:id="605" w:name="_Toc469038321"/>
      <w:bookmarkStart w:id="606" w:name="_Toc15118"/>
      <w:bookmarkStart w:id="607" w:name="_Toc196015563"/>
      <w:bookmarkStart w:id="608" w:name="_Toc21009"/>
      <w:bookmarkStart w:id="609" w:name="_Toc238186287"/>
      <w:bookmarkStart w:id="610" w:name="_Toc212436370"/>
      <w:bookmarkStart w:id="611" w:name="_Toc233022002"/>
      <w:bookmarkStart w:id="612" w:name="_Toc4778"/>
      <w:bookmarkStart w:id="613" w:name="_Toc196819091"/>
      <w:bookmarkStart w:id="614" w:name="_Toc22604"/>
      <w:bookmarkStart w:id="615" w:name="_Toc468798826"/>
      <w:bookmarkStart w:id="616" w:name="_Toc201303492"/>
      <w:bookmarkStart w:id="617" w:name="_Toc222136417"/>
      <w:bookmarkStart w:id="618" w:name="_Toc467768665"/>
      <w:bookmarkStart w:id="619" w:name="_Toc231633744"/>
      <w:bookmarkStart w:id="620" w:name="_Toc237275761"/>
      <w:bookmarkStart w:id="621" w:name="_Toc230164913"/>
      <w:bookmarkStart w:id="622" w:name="_Toc196818674"/>
      <w:bookmarkStart w:id="623" w:name="_Toc196015725"/>
      <w:bookmarkStart w:id="624" w:name="_Toc201303576"/>
      <w:bookmarkStart w:id="625" w:name="_Toc196015806"/>
      <w:bookmarkStart w:id="626" w:name="_Toc196818627"/>
      <w:bookmarkStart w:id="627" w:name="_Toc4842"/>
      <w:bookmarkStart w:id="628" w:name="_Toc59609253"/>
      <w:bookmarkStart w:id="629" w:name="_Toc59608268"/>
      <w:bookmarkStart w:id="630" w:name="_Toc59597354"/>
      <w:bookmarkStart w:id="631" w:name="_Toc35598063"/>
      <w:bookmarkStart w:id="632" w:name="_Toc313949365"/>
      <w:bookmarkStart w:id="633" w:name="_Toc183600959"/>
      <w:bookmarkStart w:id="634" w:name="_Toc536295273"/>
      <w:bookmarkStart w:id="635" w:name="_Toc183601351"/>
      <w:bookmarkStart w:id="636" w:name="_Toc404766622"/>
      <w:r>
        <w:rPr>
          <w:rFonts w:hint="eastAsia"/>
          <w:color w:val="auto"/>
          <w:highlight w:val="none"/>
          <w:lang w:val="en-US" w:eastAsia="zh-CN"/>
        </w:rPr>
        <w:t>14</w:t>
      </w:r>
      <w:r>
        <w:rPr>
          <w:rFonts w:hint="eastAsia"/>
          <w:color w:val="auto"/>
          <w:highlight w:val="none"/>
        </w:rPr>
        <w:t>.</w:t>
      </w:r>
      <w:r>
        <w:rPr>
          <w:rFonts w:hint="eastAsia"/>
          <w:color w:val="auto"/>
          <w:highlight w:val="none"/>
          <w:lang w:val="en-US" w:eastAsia="zh-CN"/>
        </w:rPr>
        <w:t xml:space="preserve">1 </w:t>
      </w:r>
      <w:r>
        <w:rPr>
          <w:rFonts w:hint="eastAsia"/>
          <w:color w:val="auto"/>
          <w:highlight w:val="none"/>
        </w:rPr>
        <w:t>编制依据</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pPr>
        <w:ind w:firstLine="480"/>
        <w:rPr>
          <w:rFonts w:hint="eastAsia"/>
          <w:color w:val="auto"/>
          <w:highlight w:val="none"/>
        </w:rPr>
      </w:pPr>
      <w:bookmarkStart w:id="637" w:name="_Toc196818675"/>
      <w:bookmarkStart w:id="638" w:name="_Toc201303577"/>
      <w:bookmarkStart w:id="639" w:name="_Toc238186288"/>
      <w:bookmarkStart w:id="640" w:name="_Toc196015807"/>
      <w:bookmarkStart w:id="641" w:name="_Toc196015564"/>
      <w:bookmarkStart w:id="642" w:name="_Toc196015726"/>
      <w:bookmarkStart w:id="643" w:name="_Toc201303493"/>
      <w:bookmarkStart w:id="644" w:name="_Toc233022003"/>
      <w:bookmarkStart w:id="645" w:name="_Toc196818628"/>
      <w:bookmarkStart w:id="646" w:name="_Toc231633745"/>
      <w:bookmarkStart w:id="647" w:name="_Toc212436371"/>
      <w:bookmarkStart w:id="648" w:name="_Toc230164914"/>
      <w:bookmarkStart w:id="649" w:name="_Toc196819092"/>
      <w:bookmarkStart w:id="650" w:name="_Toc226446374"/>
      <w:bookmarkStart w:id="651" w:name="_Toc222136418"/>
      <w:bookmarkStart w:id="652" w:name="_Toc237275863"/>
      <w:bookmarkStart w:id="653" w:name="_Toc237275762"/>
      <w:r>
        <w:rPr>
          <w:rFonts w:hint="eastAsia"/>
          <w:color w:val="auto"/>
          <w:highlight w:val="none"/>
          <w:lang w:eastAsia="zh-CN"/>
        </w:rPr>
        <w:t>（</w:t>
      </w:r>
      <w:r>
        <w:rPr>
          <w:rFonts w:hint="eastAsia"/>
          <w:color w:val="auto"/>
          <w:highlight w:val="none"/>
        </w:rPr>
        <w:t>1</w:t>
      </w:r>
      <w:r>
        <w:rPr>
          <w:rFonts w:hint="eastAsia"/>
          <w:color w:val="auto"/>
          <w:highlight w:val="none"/>
          <w:lang w:eastAsia="zh-CN"/>
        </w:rPr>
        <w:t>）</w:t>
      </w:r>
      <w:r>
        <w:rPr>
          <w:rFonts w:hint="eastAsia"/>
          <w:color w:val="auto"/>
          <w:highlight w:val="none"/>
        </w:rPr>
        <w:t>国家及省颁布的有关法令法规、制度、标准。</w:t>
      </w:r>
    </w:p>
    <w:p>
      <w:pPr>
        <w:ind w:firstLine="480"/>
        <w:rPr>
          <w:rFonts w:hint="eastAsia"/>
          <w:color w:val="auto"/>
          <w:highlight w:val="none"/>
        </w:rPr>
      </w:pPr>
      <w:r>
        <w:rPr>
          <w:rFonts w:hint="eastAsia"/>
          <w:color w:val="auto"/>
          <w:highlight w:val="none"/>
          <w:lang w:eastAsia="zh-CN"/>
        </w:rPr>
        <w:t>（</w:t>
      </w:r>
      <w:r>
        <w:rPr>
          <w:rFonts w:hint="eastAsia"/>
          <w:color w:val="auto"/>
          <w:highlight w:val="none"/>
        </w:rPr>
        <w:t>2</w:t>
      </w:r>
      <w:r>
        <w:rPr>
          <w:rFonts w:hint="eastAsia"/>
          <w:color w:val="auto"/>
          <w:highlight w:val="none"/>
          <w:lang w:eastAsia="zh-CN"/>
        </w:rPr>
        <w:t>）</w:t>
      </w:r>
      <w:r>
        <w:rPr>
          <w:rFonts w:hint="eastAsia"/>
          <w:color w:val="auto"/>
          <w:highlight w:val="none"/>
        </w:rPr>
        <w:t>执行《广东省水利厅关于发布我省水利水电建筑工程设计概（估）算编制规定与系列定额的通知》（粤水建管[2017]37号），《编规》、《系列定额》于2017年7月1日起实施。</w:t>
      </w:r>
    </w:p>
    <w:p>
      <w:pPr>
        <w:ind w:firstLine="480"/>
        <w:rPr>
          <w:rFonts w:hint="eastAsia"/>
          <w:color w:val="auto"/>
          <w:highlight w:val="none"/>
        </w:rPr>
      </w:pPr>
      <w:r>
        <w:rPr>
          <w:rFonts w:hint="eastAsia"/>
          <w:color w:val="auto"/>
          <w:highlight w:val="none"/>
          <w:lang w:eastAsia="zh-CN"/>
        </w:rPr>
        <w:t>（</w:t>
      </w:r>
      <w:r>
        <w:rPr>
          <w:rFonts w:hint="eastAsia"/>
          <w:color w:val="auto"/>
          <w:highlight w:val="none"/>
        </w:rPr>
        <w:t>3</w:t>
      </w:r>
      <w:r>
        <w:rPr>
          <w:rFonts w:hint="eastAsia"/>
          <w:color w:val="auto"/>
          <w:highlight w:val="none"/>
          <w:lang w:eastAsia="zh-CN"/>
        </w:rPr>
        <w:t>）</w:t>
      </w:r>
      <w:r>
        <w:rPr>
          <w:rFonts w:hint="eastAsia"/>
          <w:color w:val="auto"/>
          <w:highlight w:val="none"/>
        </w:rPr>
        <w:t>水利水电工程设计工程量计算规定（SL328-2005）。</w:t>
      </w:r>
    </w:p>
    <w:p>
      <w:pPr>
        <w:ind w:firstLine="480"/>
        <w:rPr>
          <w:rFonts w:hint="eastAsia"/>
          <w:color w:val="auto"/>
          <w:highlight w:val="none"/>
        </w:rPr>
      </w:pPr>
      <w:r>
        <w:rPr>
          <w:rFonts w:hint="eastAsia"/>
          <w:color w:val="auto"/>
          <w:highlight w:val="none"/>
          <w:lang w:eastAsia="zh-CN"/>
        </w:rPr>
        <w:t>（</w:t>
      </w:r>
      <w:r>
        <w:rPr>
          <w:rFonts w:hint="eastAsia"/>
          <w:color w:val="auto"/>
          <w:highlight w:val="none"/>
        </w:rPr>
        <w:t>4</w:t>
      </w:r>
      <w:r>
        <w:rPr>
          <w:rFonts w:hint="eastAsia"/>
          <w:color w:val="auto"/>
          <w:highlight w:val="none"/>
          <w:lang w:eastAsia="zh-CN"/>
        </w:rPr>
        <w:t>）</w:t>
      </w:r>
      <w:r>
        <w:rPr>
          <w:rFonts w:hint="eastAsia"/>
          <w:color w:val="auto"/>
          <w:highlight w:val="none"/>
        </w:rPr>
        <w:t>初设报告及附图。</w:t>
      </w:r>
    </w:p>
    <w:p>
      <w:pPr>
        <w:ind w:firstLine="480"/>
        <w:rPr>
          <w:rFonts w:hint="eastAsia"/>
          <w:color w:val="auto"/>
          <w:highlight w:val="none"/>
        </w:rPr>
      </w:pPr>
      <w:r>
        <w:rPr>
          <w:rFonts w:hint="eastAsia"/>
          <w:color w:val="auto"/>
          <w:highlight w:val="none"/>
          <w:lang w:eastAsia="zh-CN"/>
        </w:rPr>
        <w:t>（</w:t>
      </w:r>
      <w:r>
        <w:rPr>
          <w:rFonts w:hint="eastAsia"/>
          <w:color w:val="auto"/>
          <w:highlight w:val="none"/>
        </w:rPr>
        <w:t>5</w:t>
      </w:r>
      <w:r>
        <w:rPr>
          <w:rFonts w:hint="eastAsia"/>
          <w:color w:val="auto"/>
          <w:highlight w:val="none"/>
          <w:lang w:eastAsia="zh-CN"/>
        </w:rPr>
        <w:t>）</w:t>
      </w:r>
      <w:r>
        <w:rPr>
          <w:rFonts w:hint="eastAsia"/>
          <w:color w:val="auto"/>
          <w:highlight w:val="none"/>
        </w:rPr>
        <w:t>与概（估）算文件编制有关的其他文件和材料。</w:t>
      </w:r>
    </w:p>
    <w:p>
      <w:pPr>
        <w:pStyle w:val="3"/>
        <w:rPr>
          <w:rFonts w:hint="eastAsia"/>
          <w:color w:val="auto"/>
          <w:highlight w:val="none"/>
          <w:lang w:val="en-US" w:eastAsia="zh-CN"/>
        </w:rPr>
      </w:pPr>
      <w:bookmarkStart w:id="654" w:name="_Toc2932"/>
      <w:bookmarkStart w:id="655" w:name="_Toc24130"/>
      <w:r>
        <w:rPr>
          <w:rFonts w:hint="eastAsia"/>
          <w:color w:val="auto"/>
          <w:highlight w:val="none"/>
          <w:lang w:val="en-US" w:eastAsia="zh-CN"/>
        </w:rPr>
        <w:t>14.2 基础单价</w:t>
      </w:r>
      <w:bookmarkEnd w:id="654"/>
      <w:bookmarkEnd w:id="655"/>
    </w:p>
    <w:p>
      <w:pPr>
        <w:ind w:firstLine="480"/>
        <w:rPr>
          <w:rFonts w:hint="eastAsia"/>
          <w:color w:val="auto"/>
          <w:highlight w:val="none"/>
          <w:lang w:eastAsia="zh-CN"/>
        </w:rPr>
      </w:pPr>
      <w:r>
        <w:rPr>
          <w:rFonts w:hint="eastAsia"/>
          <w:color w:val="auto"/>
          <w:highlight w:val="none"/>
          <w:lang w:eastAsia="zh-CN"/>
        </w:rPr>
        <w:t>人工费依据省水利厅粤水建管[2017]37号，普工83元/工日，技术工1</w:t>
      </w:r>
      <w:r>
        <w:rPr>
          <w:rFonts w:hint="eastAsia"/>
          <w:color w:val="auto"/>
          <w:highlight w:val="none"/>
          <w:lang w:val="en-US" w:eastAsia="zh-CN"/>
        </w:rPr>
        <w:t>15.9元/工日，主要材料价格根广州市建设工程造价管理站颁布广州市 2023年3月份主要建筑材料参考价格表中等平均价格，其他材料价格参考市场价格，次要材料价格依据《广东省水利水电工程2023年3月次要材料价格表》。</w:t>
      </w:r>
    </w:p>
    <w:p>
      <w:pPr>
        <w:pStyle w:val="3"/>
        <w:rPr>
          <w:rFonts w:hint="eastAsia"/>
          <w:color w:val="auto"/>
          <w:highlight w:val="none"/>
          <w:lang w:val="en-US" w:eastAsia="zh-CN"/>
        </w:rPr>
      </w:pPr>
      <w:bookmarkStart w:id="656" w:name="_Toc3826"/>
      <w:bookmarkStart w:id="657" w:name="_Toc4709"/>
      <w:r>
        <w:rPr>
          <w:rFonts w:hint="eastAsia"/>
          <w:color w:val="auto"/>
          <w:highlight w:val="none"/>
          <w:lang w:val="en-US" w:eastAsia="zh-CN"/>
        </w:rPr>
        <w:t>14.</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Start w:id="658" w:name="_Toc196819093"/>
      <w:bookmarkStart w:id="659" w:name="_Toc196015565"/>
      <w:bookmarkStart w:id="660" w:name="_Toc196818629"/>
      <w:bookmarkStart w:id="661" w:name="_Toc196015727"/>
      <w:bookmarkStart w:id="662" w:name="_Toc196015808"/>
      <w:bookmarkStart w:id="663" w:name="_Toc196818676"/>
      <w:bookmarkStart w:id="664" w:name="_Toc230164915"/>
      <w:bookmarkStart w:id="665" w:name="_Toc237275864"/>
      <w:bookmarkStart w:id="666" w:name="_Toc233022004"/>
      <w:bookmarkStart w:id="667" w:name="_Toc238186289"/>
      <w:bookmarkStart w:id="668" w:name="_Toc9574"/>
      <w:bookmarkStart w:id="669" w:name="_Toc201303494"/>
      <w:bookmarkStart w:id="670" w:name="_Toc237275763"/>
      <w:bookmarkStart w:id="671" w:name="_Toc469038323"/>
      <w:bookmarkStart w:id="672" w:name="_Toc231633746"/>
      <w:bookmarkStart w:id="673" w:name="_Toc467768667"/>
      <w:bookmarkStart w:id="674" w:name="_Toc7075"/>
      <w:bookmarkStart w:id="675" w:name="_Toc222136419"/>
      <w:bookmarkStart w:id="676" w:name="_Toc468798828"/>
      <w:bookmarkStart w:id="677" w:name="_Toc212436372"/>
      <w:bookmarkStart w:id="678" w:name="_Toc226446375"/>
      <w:bookmarkStart w:id="679" w:name="_Toc201303578"/>
      <w:bookmarkStart w:id="680" w:name="_Toc2658"/>
      <w:r>
        <w:rPr>
          <w:rFonts w:hint="eastAsia"/>
          <w:color w:val="auto"/>
          <w:highlight w:val="none"/>
          <w:lang w:val="en-US" w:eastAsia="zh-CN"/>
        </w:rPr>
        <w:t>3 主要工程量及主要材料用量</w:t>
      </w:r>
      <w:bookmarkEnd w:id="656"/>
      <w:bookmarkEnd w:id="657"/>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主要工程量：土方明挖：</w:t>
      </w:r>
      <w:r>
        <w:rPr>
          <w:rFonts w:hint="eastAsia" w:ascii="宋体" w:hAnsi="宋体" w:eastAsia="宋体" w:cs="宋体"/>
          <w:color w:val="auto"/>
          <w:sz w:val="24"/>
          <w:szCs w:val="24"/>
          <w:highlight w:val="none"/>
          <w:lang w:val="en-US" w:eastAsia="zh-CN"/>
        </w:rPr>
        <w:t>13039.99</w:t>
      </w:r>
      <w:r>
        <w:rPr>
          <w:rFonts w:hint="eastAsia" w:ascii="宋体" w:hAnsi="宋体" w:eastAsia="宋体" w:cs="宋体"/>
          <w:color w:val="auto"/>
          <w:sz w:val="24"/>
          <w:szCs w:val="24"/>
          <w:highlight w:val="none"/>
          <w:lang w:eastAsia="zh-CN"/>
        </w:rPr>
        <w:t>m³；土石方填筑：</w:t>
      </w:r>
      <w:r>
        <w:rPr>
          <w:rFonts w:hint="eastAsia" w:ascii="宋体" w:hAnsi="宋体" w:eastAsia="宋体" w:cs="宋体"/>
          <w:color w:val="auto"/>
          <w:sz w:val="24"/>
          <w:szCs w:val="24"/>
          <w:highlight w:val="none"/>
          <w:lang w:val="en-US" w:eastAsia="zh-CN"/>
        </w:rPr>
        <w:t>6499.36</w:t>
      </w:r>
      <w:r>
        <w:rPr>
          <w:rFonts w:hint="eastAsia" w:ascii="宋体" w:hAnsi="宋体" w:eastAsia="宋体" w:cs="宋体"/>
          <w:color w:val="auto"/>
          <w:sz w:val="24"/>
          <w:szCs w:val="24"/>
          <w:highlight w:val="none"/>
          <w:lang w:eastAsia="zh-CN"/>
        </w:rPr>
        <w:t>m</w:t>
      </w:r>
      <w:r>
        <w:rPr>
          <w:rFonts w:hint="eastAsia" w:ascii="宋体" w:hAnsi="宋体" w:eastAsia="宋体" w:cs="宋体"/>
          <w:color w:val="auto"/>
          <w:sz w:val="24"/>
          <w:szCs w:val="24"/>
          <w:highlight w:val="none"/>
          <w:lang w:val="en-US" w:eastAsia="zh-CN"/>
        </w:rPr>
        <w:t>³；混凝土457.53m³；模板：1791.32m²；钢筋：43.63t</w:t>
      </w:r>
      <w:r>
        <w:rPr>
          <w:rFonts w:hint="eastAsia" w:ascii="宋体" w:hAnsi="宋体" w:eastAsia="宋体" w:cs="宋体"/>
          <w:color w:val="auto"/>
          <w:sz w:val="24"/>
          <w:szCs w:val="24"/>
          <w:highlight w:val="none"/>
          <w:lang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rPr>
          <w:rFonts w:hint="eastAsia"/>
          <w:color w:val="auto"/>
          <w:highlight w:val="none"/>
          <w:lang w:eastAsia="zh-CN"/>
        </w:rPr>
      </w:pPr>
      <w:r>
        <w:rPr>
          <w:rFonts w:hint="eastAsia" w:ascii="宋体" w:hAnsi="宋体" w:eastAsia="宋体" w:cs="宋体"/>
          <w:color w:val="auto"/>
          <w:sz w:val="24"/>
          <w:szCs w:val="24"/>
          <w:highlight w:val="none"/>
          <w:lang w:eastAsia="zh-CN"/>
        </w:rPr>
        <w:t>主要材料用量：商品砼：</w:t>
      </w:r>
      <w:r>
        <w:rPr>
          <w:rFonts w:hint="eastAsia" w:ascii="宋体" w:hAnsi="宋体" w:eastAsia="宋体" w:cs="宋体"/>
          <w:color w:val="auto"/>
          <w:sz w:val="24"/>
          <w:szCs w:val="24"/>
          <w:highlight w:val="none"/>
          <w:lang w:val="en-US" w:eastAsia="zh-CN"/>
        </w:rPr>
        <w:t>467.784</w:t>
      </w:r>
      <w:r>
        <w:rPr>
          <w:rFonts w:hint="eastAsia" w:ascii="宋体" w:hAnsi="宋体" w:eastAsia="宋体" w:cs="宋体"/>
          <w:color w:val="auto"/>
          <w:sz w:val="24"/>
          <w:szCs w:val="24"/>
          <w:highlight w:val="none"/>
          <w:lang w:eastAsia="zh-CN"/>
        </w:rPr>
        <w:t>m³</w:t>
      </w:r>
      <w:r>
        <w:rPr>
          <w:rFonts w:hint="eastAsia" w:ascii="宋体" w:hAnsi="宋体" w:eastAsia="宋体" w:cs="宋体"/>
          <w:color w:val="auto"/>
          <w:sz w:val="24"/>
          <w:szCs w:val="24"/>
          <w:highlight w:val="none"/>
          <w:lang w:val="en-US" w:eastAsia="zh-CN"/>
        </w:rPr>
        <w:t>；</w:t>
      </w:r>
      <w:r>
        <w:rPr>
          <w:rFonts w:hint="eastAsia" w:ascii="宋体" w:hAnsi="宋体" w:eastAsia="宋体" w:cs="宋体"/>
          <w:color w:val="auto"/>
          <w:sz w:val="24"/>
          <w:szCs w:val="24"/>
          <w:highlight w:val="none"/>
          <w:lang w:eastAsia="zh-CN"/>
        </w:rPr>
        <w:t>块石：</w:t>
      </w:r>
      <w:r>
        <w:rPr>
          <w:rFonts w:hint="eastAsia" w:ascii="宋体" w:hAnsi="宋体" w:eastAsia="宋体" w:cs="宋体"/>
          <w:color w:val="auto"/>
          <w:sz w:val="24"/>
          <w:szCs w:val="24"/>
          <w:highlight w:val="none"/>
          <w:lang w:val="en-US" w:eastAsia="zh-CN"/>
        </w:rPr>
        <w:t>8548.076</w:t>
      </w:r>
      <w:r>
        <w:rPr>
          <w:rFonts w:hint="eastAsia" w:ascii="宋体" w:hAnsi="宋体" w:eastAsia="宋体" w:cs="宋体"/>
          <w:color w:val="auto"/>
          <w:sz w:val="24"/>
          <w:szCs w:val="24"/>
          <w:highlight w:val="none"/>
          <w:lang w:eastAsia="zh-CN"/>
        </w:rPr>
        <w:t>m³；碎石：</w:t>
      </w:r>
      <w:r>
        <w:rPr>
          <w:rFonts w:hint="eastAsia" w:ascii="宋体" w:hAnsi="宋体" w:eastAsia="宋体" w:cs="宋体"/>
          <w:color w:val="auto"/>
          <w:sz w:val="24"/>
          <w:szCs w:val="24"/>
          <w:highlight w:val="none"/>
          <w:lang w:val="en-US" w:eastAsia="zh-CN"/>
        </w:rPr>
        <w:t>352.77m³；</w:t>
      </w:r>
      <w:r>
        <w:rPr>
          <w:rFonts w:hint="eastAsia" w:ascii="宋体" w:hAnsi="宋体" w:eastAsia="宋体" w:cs="宋体"/>
          <w:color w:val="auto"/>
          <w:sz w:val="24"/>
          <w:szCs w:val="24"/>
          <w:highlight w:val="none"/>
          <w:lang w:eastAsia="zh-CN"/>
        </w:rPr>
        <w:t>砂：</w:t>
      </w:r>
      <w:r>
        <w:rPr>
          <w:rFonts w:hint="eastAsia" w:ascii="宋体" w:hAnsi="宋体" w:eastAsia="宋体" w:cs="宋体"/>
          <w:color w:val="auto"/>
          <w:sz w:val="24"/>
          <w:szCs w:val="24"/>
          <w:highlight w:val="none"/>
          <w:lang w:val="en-US" w:eastAsia="zh-CN"/>
        </w:rPr>
        <w:t>3110.111m³</w:t>
      </w:r>
      <w:r>
        <w:rPr>
          <w:rFonts w:hint="eastAsia" w:ascii="宋体" w:hAnsi="宋体" w:eastAsia="宋体" w:cs="宋体"/>
          <w:color w:val="auto"/>
          <w:sz w:val="24"/>
          <w:szCs w:val="24"/>
          <w:highlight w:val="none"/>
          <w:lang w:eastAsia="zh-CN"/>
        </w:rPr>
        <w:t>柴油：</w:t>
      </w:r>
      <w:r>
        <w:rPr>
          <w:rFonts w:hint="eastAsia" w:ascii="宋体" w:hAnsi="宋体" w:eastAsia="宋体" w:cs="宋体"/>
          <w:color w:val="auto"/>
          <w:sz w:val="24"/>
          <w:szCs w:val="24"/>
          <w:highlight w:val="none"/>
          <w:lang w:val="en-US" w:eastAsia="zh-CN"/>
        </w:rPr>
        <w:t>23.904</w:t>
      </w:r>
      <w:r>
        <w:rPr>
          <w:rFonts w:hint="eastAsia" w:ascii="宋体" w:hAnsi="宋体" w:eastAsia="宋体" w:cs="宋体"/>
          <w:color w:val="auto"/>
          <w:sz w:val="24"/>
          <w:szCs w:val="24"/>
          <w:highlight w:val="none"/>
          <w:lang w:eastAsia="zh-CN"/>
        </w:rPr>
        <w:t>t。</w:t>
      </w:r>
    </w:p>
    <w:p>
      <w:pPr>
        <w:pStyle w:val="3"/>
        <w:rPr>
          <w:rFonts w:hint="eastAsia"/>
          <w:color w:val="auto"/>
          <w:highlight w:val="none"/>
          <w:lang w:val="en-US" w:eastAsia="zh-CN"/>
        </w:rPr>
      </w:pPr>
      <w:bookmarkStart w:id="681" w:name="_Toc12954"/>
      <w:bookmarkStart w:id="682" w:name="_Toc20778"/>
      <w:r>
        <w:rPr>
          <w:rFonts w:hint="eastAsia"/>
          <w:color w:val="auto"/>
          <w:highlight w:val="none"/>
          <w:lang w:val="en-US" w:eastAsia="zh-CN"/>
        </w:rPr>
        <w:t>14.</w:t>
      </w:r>
      <w:bookmarkEnd w:id="658"/>
      <w:bookmarkEnd w:id="659"/>
      <w:bookmarkEnd w:id="660"/>
      <w:bookmarkEnd w:id="661"/>
      <w:bookmarkEnd w:id="662"/>
      <w:bookmarkEnd w:id="663"/>
      <w:r>
        <w:rPr>
          <w:rFonts w:hint="eastAsia"/>
          <w:color w:val="auto"/>
          <w:highlight w:val="none"/>
          <w:lang w:val="en-US" w:eastAsia="zh-CN"/>
        </w:rPr>
        <w:t>4 工程投资</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r>
        <w:rPr>
          <w:rFonts w:hint="eastAsia"/>
          <w:color w:val="auto"/>
          <w:highlight w:val="none"/>
          <w:lang w:val="en-US" w:eastAsia="zh-CN"/>
        </w:rPr>
        <w:t>概算</w:t>
      </w:r>
      <w:bookmarkEnd w:id="680"/>
      <w:bookmarkEnd w:id="681"/>
      <w:bookmarkEnd w:id="682"/>
    </w:p>
    <w:bookmarkEnd w:id="628"/>
    <w:bookmarkEnd w:id="629"/>
    <w:bookmarkEnd w:id="630"/>
    <w:bookmarkEnd w:id="631"/>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rPr>
          <w:rFonts w:hint="eastAsia" w:ascii="宋体" w:hAnsi="宋体" w:eastAsia="宋体" w:cs="宋体"/>
          <w:color w:val="auto"/>
          <w:sz w:val="24"/>
          <w:szCs w:val="24"/>
          <w:highlight w:val="none"/>
          <w:lang w:eastAsia="zh-CN"/>
        </w:rPr>
      </w:pPr>
      <w:bookmarkStart w:id="683" w:name="OLE_LINK22"/>
      <w:r>
        <w:rPr>
          <w:rFonts w:hint="eastAsia" w:ascii="宋体" w:hAnsi="宋体" w:eastAsia="宋体" w:cs="宋体"/>
          <w:color w:val="auto"/>
          <w:sz w:val="24"/>
          <w:szCs w:val="24"/>
          <w:highlight w:val="none"/>
          <w:lang w:eastAsia="zh-CN"/>
        </w:rPr>
        <w:t>本工程投资概算为：</w:t>
      </w:r>
      <w:r>
        <w:rPr>
          <w:rFonts w:hint="eastAsia" w:ascii="宋体" w:hAnsi="宋体" w:cs="宋体"/>
          <w:color w:val="auto"/>
          <w:sz w:val="24"/>
          <w:szCs w:val="24"/>
          <w:highlight w:val="none"/>
          <w:lang w:val="en-US" w:eastAsia="zh-CN"/>
        </w:rPr>
        <w:t>835.52万</w:t>
      </w:r>
      <w:r>
        <w:rPr>
          <w:rFonts w:hint="eastAsia" w:ascii="宋体" w:hAnsi="宋体" w:eastAsia="宋体" w:cs="宋体"/>
          <w:color w:val="auto"/>
          <w:sz w:val="24"/>
          <w:szCs w:val="24"/>
          <w:highlight w:val="none"/>
          <w:lang w:eastAsia="zh-CN"/>
        </w:rPr>
        <w:t>元。</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rPr>
          <w:rFonts w:hint="eastAsia"/>
          <w:b w:val="0"/>
          <w:bCs/>
          <w:color w:val="auto"/>
          <w:highlight w:val="none"/>
          <w:lang w:val="en-US" w:eastAsia="zh-CN"/>
        </w:rPr>
      </w:pPr>
      <w:r>
        <w:rPr>
          <w:rFonts w:hint="eastAsia" w:ascii="宋体" w:hAnsi="宋体" w:eastAsia="宋体" w:cs="宋体"/>
          <w:color w:val="auto"/>
          <w:sz w:val="24"/>
          <w:szCs w:val="24"/>
          <w:highlight w:val="none"/>
          <w:lang w:eastAsia="zh-CN"/>
        </w:rPr>
        <w:t>其中：其中建安费</w:t>
      </w:r>
      <w:r>
        <w:rPr>
          <w:rFonts w:hint="eastAsia" w:ascii="宋体" w:hAnsi="宋体" w:cs="宋体"/>
          <w:color w:val="auto"/>
          <w:sz w:val="24"/>
          <w:szCs w:val="24"/>
          <w:highlight w:val="none"/>
          <w:lang w:val="en-US" w:eastAsia="zh-CN"/>
        </w:rPr>
        <w:t>663.45万</w:t>
      </w:r>
      <w:r>
        <w:rPr>
          <w:rFonts w:hint="eastAsia" w:ascii="宋体" w:hAnsi="宋体" w:eastAsia="宋体" w:cs="宋体"/>
          <w:color w:val="auto"/>
          <w:sz w:val="24"/>
          <w:szCs w:val="24"/>
          <w:highlight w:val="none"/>
          <w:lang w:val="en-US" w:eastAsia="zh-CN"/>
        </w:rPr>
        <w:t>元，独立费</w:t>
      </w:r>
      <w:r>
        <w:rPr>
          <w:rFonts w:hint="eastAsia" w:ascii="宋体" w:hAnsi="宋体" w:cs="宋体"/>
          <w:color w:val="auto"/>
          <w:sz w:val="24"/>
          <w:szCs w:val="24"/>
          <w:highlight w:val="none"/>
          <w:lang w:val="en-US" w:eastAsia="zh-CN"/>
        </w:rPr>
        <w:t>99.85万</w:t>
      </w:r>
      <w:r>
        <w:rPr>
          <w:rFonts w:hint="eastAsia" w:ascii="宋体" w:hAnsi="宋体" w:eastAsia="宋体" w:cs="宋体"/>
          <w:color w:val="auto"/>
          <w:sz w:val="24"/>
          <w:szCs w:val="24"/>
          <w:highlight w:val="none"/>
          <w:lang w:val="en-US" w:eastAsia="zh-CN"/>
        </w:rPr>
        <w:t>元，基本预备费</w:t>
      </w:r>
      <w:r>
        <w:rPr>
          <w:rFonts w:hint="eastAsia" w:ascii="宋体" w:hAnsi="宋体" w:cs="宋体"/>
          <w:color w:val="auto"/>
          <w:sz w:val="24"/>
          <w:szCs w:val="24"/>
          <w:highlight w:val="none"/>
          <w:lang w:val="en-US" w:eastAsia="zh-CN"/>
        </w:rPr>
        <w:t>28.25万</w:t>
      </w:r>
      <w:r>
        <w:rPr>
          <w:rFonts w:hint="eastAsia" w:ascii="宋体" w:hAnsi="宋体" w:eastAsia="宋体" w:cs="宋体"/>
          <w:color w:val="auto"/>
          <w:sz w:val="24"/>
          <w:szCs w:val="24"/>
          <w:highlight w:val="none"/>
          <w:lang w:val="en-US" w:eastAsia="zh-CN"/>
        </w:rPr>
        <w:t>元，工程占地补偿费</w:t>
      </w:r>
      <w:r>
        <w:rPr>
          <w:rFonts w:hint="eastAsia" w:ascii="宋体" w:hAnsi="宋体" w:cs="宋体"/>
          <w:color w:val="auto"/>
          <w:sz w:val="24"/>
          <w:szCs w:val="24"/>
          <w:highlight w:val="none"/>
          <w:lang w:val="en-US" w:eastAsia="zh-CN"/>
        </w:rPr>
        <w:t>42.69万</w:t>
      </w:r>
      <w:r>
        <w:rPr>
          <w:rFonts w:hint="eastAsia" w:ascii="宋体" w:hAnsi="宋体" w:eastAsia="宋体" w:cs="宋体"/>
          <w:color w:val="auto"/>
          <w:sz w:val="24"/>
          <w:szCs w:val="24"/>
          <w:highlight w:val="none"/>
          <w:lang w:val="en-US" w:eastAsia="zh-CN"/>
        </w:rPr>
        <w:t>元。</w:t>
      </w:r>
    </w:p>
    <w:bookmarkEnd w:id="683"/>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color w:val="auto"/>
          <w:highlight w:val="none"/>
          <w:lang w:eastAsia="zh-CN"/>
        </w:rPr>
      </w:pPr>
      <w:r>
        <w:rPr>
          <w:rFonts w:hint="eastAsia"/>
          <w:color w:val="auto"/>
          <w:highlight w:val="none"/>
          <w:lang w:eastAsia="zh-CN"/>
        </w:rPr>
        <w:t>具体详见总投资概算下表。</w:t>
      </w:r>
    </w:p>
    <w:p>
      <w:pPr>
        <w:keepNext w:val="0"/>
        <w:keepLines w:val="0"/>
        <w:pageBreakBefore w:val="0"/>
        <w:widowControl w:val="0"/>
        <w:kinsoku/>
        <w:wordWrap/>
        <w:overflowPunct/>
        <w:topLinePunct w:val="0"/>
        <w:autoSpaceDE/>
        <w:autoSpaceDN/>
        <w:bidi w:val="0"/>
        <w:adjustRightInd/>
        <w:snapToGrid/>
        <w:spacing w:before="63" w:beforeLines="20" w:after="63" w:afterLines="20" w:line="560" w:lineRule="exact"/>
        <w:ind w:left="0" w:leftChars="0" w:right="0" w:rightChars="0" w:firstLine="480" w:firstLineChars="200"/>
        <w:jc w:val="both"/>
        <w:textAlignment w:val="auto"/>
        <w:outlineLvl w:val="9"/>
        <w:rPr>
          <w:rFonts w:hint="eastAsia" w:ascii="宋体" w:hAnsi="宋体" w:eastAsia="宋体" w:cs="宋体"/>
          <w:color w:val="auto"/>
          <w:kern w:val="28"/>
          <w:sz w:val="24"/>
          <w:szCs w:val="24"/>
          <w:highlight w:val="none"/>
          <w:lang w:eastAsia="zh-CN"/>
        </w:rPr>
      </w:pPr>
      <w:r>
        <w:rPr>
          <w:rFonts w:hint="eastAsia" w:ascii="宋体" w:hAnsi="宋体" w:eastAsia="宋体" w:cs="宋体"/>
          <w:color w:val="auto"/>
          <w:kern w:val="28"/>
          <w:sz w:val="24"/>
          <w:szCs w:val="24"/>
          <w:highlight w:val="none"/>
          <w:lang w:eastAsia="zh-CN"/>
        </w:rPr>
        <w:br w:type="page"/>
      </w:r>
    </w:p>
    <w:p>
      <w:pPr>
        <w:ind w:firstLine="480"/>
        <w:rPr>
          <w:rFonts w:hint="eastAsia"/>
          <w:color w:val="auto"/>
          <w:highlight w:val="none"/>
          <w:lang w:eastAsia="zh-CN"/>
        </w:rPr>
      </w:pPr>
    </w:p>
    <w:p>
      <w:pPr>
        <w:ind w:firstLine="480"/>
        <w:jc w:val="center"/>
        <w:rPr>
          <w:rFonts w:hint="eastAsia"/>
          <w:color w:val="auto"/>
          <w:highlight w:val="none"/>
          <w:lang w:val="en-US" w:eastAsia="zh-CN"/>
        </w:rPr>
      </w:pPr>
      <w:r>
        <w:rPr>
          <w:rFonts w:hint="eastAsia"/>
          <w:color w:val="auto"/>
          <w:highlight w:val="none"/>
          <w:lang w:eastAsia="zh-CN"/>
        </w:rPr>
        <w:t>表</w:t>
      </w:r>
      <w:r>
        <w:rPr>
          <w:rFonts w:hint="eastAsia"/>
          <w:color w:val="auto"/>
          <w:highlight w:val="none"/>
          <w:lang w:val="en-US" w:eastAsia="zh-CN"/>
        </w:rPr>
        <w:t>14-1  工程总投资概算表</w:t>
      </w:r>
    </w:p>
    <w:p>
      <w:pPr>
        <w:ind w:firstLine="480"/>
        <w:jc w:val="center"/>
        <w:rPr>
          <w:rFonts w:hint="eastAsia"/>
          <w:color w:val="auto"/>
          <w:highlight w:val="none"/>
          <w:lang w:val="en-US" w:eastAsia="zh-CN"/>
        </w:rPr>
      </w:pPr>
      <w:r>
        <w:rPr>
          <w:color w:val="auto"/>
        </w:rPr>
        <w:drawing>
          <wp:anchor distT="0" distB="0" distL="114300" distR="114300" simplePos="0" relativeHeight="251663360" behindDoc="0" locked="0" layoutInCell="1" allowOverlap="1">
            <wp:simplePos x="0" y="0"/>
            <wp:positionH relativeFrom="column">
              <wp:posOffset>-118110</wp:posOffset>
            </wp:positionH>
            <wp:positionV relativeFrom="paragraph">
              <wp:posOffset>107950</wp:posOffset>
            </wp:positionV>
            <wp:extent cx="6050280" cy="7124065"/>
            <wp:effectExtent l="0" t="0" r="7620" b="635"/>
            <wp:wrapSquare wrapText="bothSides"/>
            <wp:docPr id="2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4"/>
                    <pic:cNvPicPr>
                      <a:picLocks noChangeAspect="1"/>
                    </pic:cNvPicPr>
                  </pic:nvPicPr>
                  <pic:blipFill>
                    <a:blip r:embed="rId128"/>
                    <a:stretch>
                      <a:fillRect/>
                    </a:stretch>
                  </pic:blipFill>
                  <pic:spPr>
                    <a:xfrm>
                      <a:off x="0" y="0"/>
                      <a:ext cx="6050280" cy="7124065"/>
                    </a:xfrm>
                    <a:prstGeom prst="rect">
                      <a:avLst/>
                    </a:prstGeom>
                    <a:noFill/>
                    <a:ln>
                      <a:noFill/>
                    </a:ln>
                  </pic:spPr>
                </pic:pic>
              </a:graphicData>
            </a:graphic>
          </wp:anchor>
        </w:drawing>
      </w:r>
    </w:p>
    <w:p>
      <w:pPr>
        <w:ind w:firstLine="480"/>
        <w:rPr>
          <w:rFonts w:hint="eastAsia"/>
          <w:color w:val="auto"/>
          <w:highlight w:val="none"/>
          <w:lang w:eastAsia="zh-CN"/>
        </w:rPr>
      </w:pPr>
      <w:r>
        <w:rPr>
          <w:rFonts w:hint="eastAsia"/>
          <w:color w:val="auto"/>
          <w:highlight w:val="none"/>
          <w:lang w:eastAsia="zh-CN"/>
        </w:rPr>
        <w:br w:type="page"/>
      </w:r>
    </w:p>
    <w:bookmarkEnd w:id="632"/>
    <w:bookmarkEnd w:id="633"/>
    <w:bookmarkEnd w:id="634"/>
    <w:bookmarkEnd w:id="635"/>
    <w:bookmarkEnd w:id="636"/>
    <w:p>
      <w:pPr>
        <w:pStyle w:val="2"/>
        <w:keepNext w:val="0"/>
        <w:keepLines w:val="0"/>
        <w:pageBreakBefore/>
        <w:spacing w:before="156" w:beforeLines="50" w:after="156" w:afterLines="50" w:line="360" w:lineRule="auto"/>
        <w:ind w:firstLine="640"/>
        <w:rPr>
          <w:b/>
          <w:color w:val="auto"/>
          <w:szCs w:val="32"/>
          <w:highlight w:val="none"/>
        </w:rPr>
      </w:pPr>
      <w:bookmarkStart w:id="684" w:name="_Toc345571930"/>
      <w:bookmarkStart w:id="685" w:name="_Toc536295280"/>
      <w:bookmarkStart w:id="686" w:name="_Toc513816976"/>
      <w:bookmarkStart w:id="687" w:name="_Toc27203"/>
      <w:r>
        <w:rPr>
          <w:rFonts w:hint="eastAsia"/>
          <w:color w:val="auto"/>
          <w:szCs w:val="32"/>
          <w:highlight w:val="none"/>
          <w:lang w:val="en-US" w:eastAsia="zh-CN"/>
        </w:rPr>
        <w:t>15</w:t>
      </w:r>
      <w:r>
        <w:rPr>
          <w:rFonts w:hint="eastAsia"/>
          <w:color w:val="auto"/>
          <w:szCs w:val="32"/>
          <w:highlight w:val="none"/>
        </w:rPr>
        <w:t xml:space="preserve">  经济评价</w:t>
      </w:r>
      <w:bookmarkEnd w:id="684"/>
      <w:bookmarkEnd w:id="685"/>
      <w:bookmarkEnd w:id="686"/>
      <w:bookmarkEnd w:id="687"/>
    </w:p>
    <w:p>
      <w:pPr>
        <w:pStyle w:val="3"/>
        <w:rPr>
          <w:color w:val="auto"/>
          <w:highlight w:val="none"/>
        </w:rPr>
      </w:pPr>
      <w:bookmarkStart w:id="688" w:name="_Toc104976715"/>
      <w:bookmarkStart w:id="689" w:name="_Toc93376387"/>
      <w:bookmarkStart w:id="690" w:name="_Toc141754087"/>
      <w:bookmarkStart w:id="691" w:name="_Toc93999468"/>
      <w:bookmarkStart w:id="692" w:name="_Toc103419975"/>
      <w:bookmarkStart w:id="693" w:name="_Toc103411385"/>
      <w:bookmarkStart w:id="694" w:name="_Toc106069074"/>
      <w:bookmarkStart w:id="695" w:name="_Toc106070511"/>
      <w:bookmarkStart w:id="696" w:name="_Toc536295281"/>
      <w:bookmarkStart w:id="697" w:name="_Toc513816977"/>
      <w:bookmarkStart w:id="698" w:name="_Toc345571931"/>
      <w:bookmarkStart w:id="699" w:name="_Toc10732"/>
      <w:r>
        <w:rPr>
          <w:rFonts w:hint="eastAsia"/>
          <w:color w:val="auto"/>
          <w:highlight w:val="none"/>
          <w:lang w:val="en-US" w:eastAsia="zh-CN"/>
        </w:rPr>
        <w:t>15</w:t>
      </w:r>
      <w:r>
        <w:rPr>
          <w:rFonts w:hint="eastAsia"/>
          <w:color w:val="auto"/>
          <w:highlight w:val="none"/>
        </w:rPr>
        <w:t>.1</w:t>
      </w:r>
      <w:bookmarkEnd w:id="688"/>
      <w:bookmarkEnd w:id="689"/>
      <w:bookmarkEnd w:id="690"/>
      <w:bookmarkEnd w:id="691"/>
      <w:bookmarkEnd w:id="692"/>
      <w:bookmarkEnd w:id="693"/>
      <w:bookmarkEnd w:id="694"/>
      <w:bookmarkEnd w:id="695"/>
      <w:r>
        <w:rPr>
          <w:rFonts w:hint="eastAsia"/>
          <w:color w:val="auto"/>
          <w:highlight w:val="none"/>
        </w:rPr>
        <w:t xml:space="preserve"> 工程概况</w:t>
      </w:r>
      <w:bookmarkEnd w:id="696"/>
      <w:bookmarkEnd w:id="697"/>
      <w:bookmarkEnd w:id="698"/>
      <w:bookmarkEnd w:id="699"/>
    </w:p>
    <w:p>
      <w:pPr>
        <w:ind w:firstLine="482"/>
        <w:rPr>
          <w:rFonts w:hint="eastAsia"/>
          <w:color w:val="auto"/>
          <w:highlight w:val="none"/>
        </w:rPr>
      </w:pPr>
      <w:bookmarkStart w:id="700" w:name="_Toc103419977"/>
      <w:bookmarkStart w:id="701" w:name="_Toc536295282"/>
      <w:bookmarkStart w:id="702" w:name="_Toc141754089"/>
      <w:bookmarkStart w:id="703" w:name="_Toc103411387"/>
      <w:bookmarkStart w:id="704" w:name="_Toc93999470"/>
      <w:bookmarkStart w:id="705" w:name="_Toc106069076"/>
      <w:bookmarkStart w:id="706" w:name="_Toc513816978"/>
      <w:bookmarkStart w:id="707" w:name="_Toc345571932"/>
      <w:bookmarkStart w:id="708" w:name="_Toc93376389"/>
      <w:bookmarkStart w:id="709" w:name="_Toc104976717"/>
      <w:bookmarkStart w:id="710" w:name="_Toc106070513"/>
      <w:r>
        <w:rPr>
          <w:rFonts w:hint="eastAsia"/>
          <w:b w:val="0"/>
          <w:bCs/>
          <w:color w:val="auto"/>
          <w:highlight w:val="none"/>
          <w:lang w:eastAsia="zh-CN"/>
        </w:rPr>
        <w:t>从化区温泉镇南大水库灌区(桃莲段)改造工程建设任务以灌溉为主，兼顾防洪</w:t>
      </w:r>
      <w:r>
        <w:rPr>
          <w:rFonts w:hint="eastAsia"/>
          <w:b w:val="0"/>
          <w:bCs/>
          <w:color w:val="auto"/>
          <w:highlight w:val="none"/>
        </w:rPr>
        <w:t>，</w:t>
      </w:r>
      <w:r>
        <w:rPr>
          <w:rFonts w:hint="eastAsia"/>
          <w:b w:val="0"/>
          <w:bCs/>
          <w:color w:val="auto"/>
          <w:highlight w:val="none"/>
          <w:lang w:eastAsia="zh-CN"/>
        </w:rPr>
        <w:t>主要对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渠道进行三面光改造，改造起点位于温泉镇桃莲村委后（桩号0+000），距离干渠渠首约5.5km，终点位于从莞深高速公路穿路箱涵进水口（桩号1+207），改造总长1207m。主要建设内容是对</w:t>
      </w:r>
      <w:r>
        <w:rPr>
          <w:rFonts w:hint="eastAsia"/>
          <w:b w:val="0"/>
          <w:bCs/>
          <w:color w:val="auto"/>
          <w:highlight w:val="none"/>
        </w:rPr>
        <w:t>从化区温泉镇南大水库灌区（</w:t>
      </w:r>
      <w:r>
        <w:rPr>
          <w:rFonts w:hint="eastAsia"/>
          <w:b w:val="0"/>
          <w:bCs/>
          <w:color w:val="auto"/>
          <w:highlight w:val="none"/>
          <w:lang w:eastAsia="zh-CN"/>
        </w:rPr>
        <w:t>桃莲段</w:t>
      </w:r>
      <w:r>
        <w:rPr>
          <w:rFonts w:hint="eastAsia"/>
          <w:b w:val="0"/>
          <w:bCs/>
          <w:color w:val="auto"/>
          <w:highlight w:val="none"/>
        </w:rPr>
        <w:t>）</w:t>
      </w:r>
      <w:r>
        <w:rPr>
          <w:rFonts w:hint="eastAsia"/>
          <w:b w:val="0"/>
          <w:bCs/>
          <w:color w:val="auto"/>
          <w:highlight w:val="none"/>
          <w:lang w:eastAsia="zh-CN"/>
        </w:rPr>
        <w:t>渠道进行三面光改造，改造总长为</w:t>
      </w:r>
      <w:r>
        <w:rPr>
          <w:rFonts w:hint="eastAsia"/>
          <w:b w:val="0"/>
          <w:bCs/>
          <w:color w:val="auto"/>
          <w:highlight w:val="none"/>
          <w:lang w:val="en-US" w:eastAsia="zh-CN"/>
        </w:rPr>
        <w:t>1207m，主要建筑物包括新建浆砌石渠道1207m，新建泄洪闸1座，拆除重建泄洪闸2座，拆除重建机耕桥2座，拆除重建人行桥5座，新建钢筋砼溢流面板1168m²等。</w:t>
      </w:r>
    </w:p>
    <w:p>
      <w:pPr>
        <w:pStyle w:val="3"/>
        <w:rPr>
          <w:color w:val="auto"/>
          <w:highlight w:val="none"/>
        </w:rPr>
      </w:pPr>
      <w:bookmarkStart w:id="711" w:name="_Toc26753"/>
      <w:r>
        <w:rPr>
          <w:rFonts w:hint="eastAsia"/>
          <w:color w:val="auto"/>
          <w:highlight w:val="none"/>
          <w:lang w:val="en-US" w:eastAsia="zh-CN"/>
        </w:rPr>
        <w:t>15</w:t>
      </w:r>
      <w:r>
        <w:rPr>
          <w:color w:val="auto"/>
          <w:highlight w:val="none"/>
        </w:rPr>
        <w:t xml:space="preserve">.2 </w:t>
      </w:r>
      <w:r>
        <w:rPr>
          <w:rFonts w:hint="eastAsia"/>
          <w:color w:val="auto"/>
          <w:highlight w:val="none"/>
        </w:rPr>
        <w:t>评价依据及计算参数</w:t>
      </w:r>
      <w:bookmarkEnd w:id="700"/>
      <w:bookmarkEnd w:id="701"/>
      <w:bookmarkEnd w:id="702"/>
      <w:bookmarkEnd w:id="703"/>
      <w:bookmarkEnd w:id="704"/>
      <w:bookmarkEnd w:id="705"/>
      <w:bookmarkEnd w:id="706"/>
      <w:bookmarkEnd w:id="707"/>
      <w:bookmarkEnd w:id="708"/>
      <w:bookmarkEnd w:id="709"/>
      <w:bookmarkEnd w:id="710"/>
      <w:bookmarkEnd w:id="711"/>
    </w:p>
    <w:p>
      <w:pPr>
        <w:ind w:firstLine="480"/>
        <w:rPr>
          <w:color w:val="auto"/>
          <w:highlight w:val="none"/>
        </w:rPr>
      </w:pPr>
      <w:r>
        <w:rPr>
          <w:rFonts w:hint="eastAsia"/>
          <w:color w:val="auto"/>
          <w:highlight w:val="none"/>
        </w:rPr>
        <w:t>本经济评价依据建设部发布的《建设项目经济评价方法与参数（第三版）》、水利部颁布的《水利建设项目经济评价规范》（</w:t>
      </w:r>
      <w:r>
        <w:rPr>
          <w:color w:val="auto"/>
          <w:highlight w:val="none"/>
        </w:rPr>
        <w:t>SL72-</w:t>
      </w:r>
      <w:r>
        <w:rPr>
          <w:rFonts w:hint="eastAsia"/>
          <w:color w:val="auto"/>
          <w:highlight w:val="none"/>
        </w:rPr>
        <w:t>2013）。</w:t>
      </w:r>
    </w:p>
    <w:p>
      <w:pPr>
        <w:ind w:firstLine="480"/>
        <w:rPr>
          <w:color w:val="auto"/>
          <w:highlight w:val="none"/>
        </w:rPr>
      </w:pPr>
      <w:r>
        <w:rPr>
          <w:rFonts w:hint="eastAsia"/>
          <w:color w:val="auto"/>
          <w:highlight w:val="none"/>
        </w:rPr>
        <w:t>国民经济评价是从国家整体利益出发，采用影子价格，考察工程对国民经济的贡献，评价工程的经济合理性。</w:t>
      </w:r>
    </w:p>
    <w:p>
      <w:pPr>
        <w:ind w:firstLine="480"/>
        <w:rPr>
          <w:color w:val="auto"/>
          <w:highlight w:val="none"/>
        </w:rPr>
      </w:pPr>
      <w:r>
        <w:rPr>
          <w:rFonts w:hint="eastAsia"/>
          <w:color w:val="auto"/>
          <w:highlight w:val="none"/>
        </w:rPr>
        <w:t>国民经济评价中社会折现率按《水利建设项目经济评价规程》（</w:t>
      </w:r>
      <w:r>
        <w:rPr>
          <w:color w:val="auto"/>
          <w:highlight w:val="none"/>
        </w:rPr>
        <w:t>SL72-94</w:t>
      </w:r>
      <w:r>
        <w:rPr>
          <w:rFonts w:hint="eastAsia"/>
          <w:color w:val="auto"/>
          <w:highlight w:val="none"/>
        </w:rPr>
        <w:t>）规定，采用</w:t>
      </w:r>
      <w:r>
        <w:rPr>
          <w:color w:val="auto"/>
          <w:highlight w:val="none"/>
        </w:rPr>
        <w:t>8%</w:t>
      </w:r>
      <w:r>
        <w:rPr>
          <w:rFonts w:hint="eastAsia"/>
          <w:color w:val="auto"/>
          <w:highlight w:val="none"/>
        </w:rPr>
        <w:t>。</w:t>
      </w:r>
    </w:p>
    <w:p>
      <w:pPr>
        <w:ind w:firstLine="480"/>
        <w:rPr>
          <w:color w:val="auto"/>
          <w:highlight w:val="none"/>
        </w:rPr>
      </w:pPr>
      <w:r>
        <w:rPr>
          <w:rFonts w:hint="eastAsia"/>
          <w:color w:val="auto"/>
          <w:highlight w:val="none"/>
        </w:rPr>
        <w:t>本工程项目计算期为</w:t>
      </w:r>
      <w:r>
        <w:rPr>
          <w:color w:val="auto"/>
          <w:highlight w:val="none"/>
        </w:rPr>
        <w:t>3</w:t>
      </w:r>
      <w:r>
        <w:rPr>
          <w:rFonts w:hint="eastAsia"/>
          <w:color w:val="auto"/>
          <w:highlight w:val="none"/>
        </w:rPr>
        <w:t>2年。</w:t>
      </w:r>
    </w:p>
    <w:p>
      <w:pPr>
        <w:pStyle w:val="3"/>
        <w:rPr>
          <w:color w:val="auto"/>
          <w:highlight w:val="none"/>
        </w:rPr>
      </w:pPr>
      <w:bookmarkStart w:id="712" w:name="_Toc104976716"/>
      <w:bookmarkStart w:id="713" w:name="_Toc93376388"/>
      <w:bookmarkStart w:id="714" w:name="_Toc106069075"/>
      <w:bookmarkStart w:id="715" w:name="_Toc106070512"/>
      <w:bookmarkStart w:id="716" w:name="_Toc103419976"/>
      <w:bookmarkStart w:id="717" w:name="_Toc103411386"/>
      <w:bookmarkStart w:id="718" w:name="_Toc93999469"/>
      <w:bookmarkStart w:id="719" w:name="_Toc513816979"/>
      <w:bookmarkStart w:id="720" w:name="_Toc345571933"/>
      <w:bookmarkStart w:id="721" w:name="_Toc141754088"/>
      <w:bookmarkStart w:id="722" w:name="_Toc536295283"/>
      <w:bookmarkStart w:id="723" w:name="_Toc6334"/>
      <w:r>
        <w:rPr>
          <w:rFonts w:hint="eastAsia"/>
          <w:color w:val="auto"/>
          <w:highlight w:val="none"/>
          <w:lang w:val="en-US" w:eastAsia="zh-CN"/>
        </w:rPr>
        <w:t>15</w:t>
      </w:r>
      <w:r>
        <w:rPr>
          <w:color w:val="auto"/>
          <w:highlight w:val="none"/>
        </w:rPr>
        <w:t>.</w:t>
      </w:r>
      <w:bookmarkEnd w:id="712"/>
      <w:bookmarkEnd w:id="713"/>
      <w:bookmarkEnd w:id="714"/>
      <w:bookmarkEnd w:id="715"/>
      <w:bookmarkEnd w:id="716"/>
      <w:bookmarkEnd w:id="717"/>
      <w:bookmarkEnd w:id="718"/>
      <w:r>
        <w:rPr>
          <w:color w:val="auto"/>
          <w:highlight w:val="none"/>
        </w:rPr>
        <w:t>3</w:t>
      </w:r>
      <w:r>
        <w:rPr>
          <w:rFonts w:hint="eastAsia"/>
          <w:color w:val="auto"/>
          <w:highlight w:val="none"/>
          <w:lang w:val="en-US" w:eastAsia="zh-CN"/>
        </w:rPr>
        <w:t xml:space="preserve"> </w:t>
      </w:r>
      <w:r>
        <w:rPr>
          <w:rFonts w:hint="eastAsia"/>
          <w:color w:val="auto"/>
          <w:highlight w:val="none"/>
        </w:rPr>
        <w:t>国民经济评价</w:t>
      </w:r>
      <w:bookmarkEnd w:id="719"/>
      <w:bookmarkEnd w:id="720"/>
      <w:bookmarkEnd w:id="721"/>
      <w:bookmarkEnd w:id="722"/>
      <w:bookmarkEnd w:id="723"/>
    </w:p>
    <w:p>
      <w:pPr>
        <w:pStyle w:val="335"/>
        <w:spacing w:before="156" w:after="156"/>
        <w:rPr>
          <w:color w:val="auto"/>
          <w:highlight w:val="none"/>
        </w:rPr>
      </w:pPr>
      <w:bookmarkStart w:id="724" w:name="_Toc93999471"/>
      <w:bookmarkStart w:id="725" w:name="_Toc141754090"/>
      <w:bookmarkStart w:id="726" w:name="_Toc536295284"/>
      <w:bookmarkStart w:id="727" w:name="_Toc106069077"/>
      <w:bookmarkStart w:id="728" w:name="_Toc103419978"/>
      <w:bookmarkStart w:id="729" w:name="_Toc106070514"/>
      <w:bookmarkStart w:id="730" w:name="_Toc93376390"/>
      <w:bookmarkStart w:id="731" w:name="_Toc104976718"/>
      <w:bookmarkStart w:id="732" w:name="_Toc103411388"/>
      <w:bookmarkStart w:id="733" w:name="_Toc345571934"/>
      <w:r>
        <w:rPr>
          <w:rFonts w:hint="eastAsia"/>
          <w:color w:val="auto"/>
          <w:highlight w:val="none"/>
          <w:lang w:val="en-US" w:eastAsia="zh-CN"/>
        </w:rPr>
        <w:t>15</w:t>
      </w:r>
      <w:r>
        <w:rPr>
          <w:rFonts w:hint="eastAsia"/>
          <w:color w:val="auto"/>
          <w:highlight w:val="none"/>
        </w:rPr>
        <w:t>.3.1 评价方法</w:t>
      </w:r>
      <w:bookmarkEnd w:id="724"/>
      <w:bookmarkEnd w:id="725"/>
      <w:bookmarkEnd w:id="726"/>
      <w:bookmarkEnd w:id="727"/>
      <w:bookmarkEnd w:id="728"/>
      <w:bookmarkEnd w:id="729"/>
      <w:bookmarkEnd w:id="730"/>
      <w:bookmarkEnd w:id="731"/>
      <w:bookmarkEnd w:id="732"/>
      <w:bookmarkEnd w:id="733"/>
    </w:p>
    <w:p>
      <w:pPr>
        <w:ind w:firstLine="480"/>
        <w:rPr>
          <w:color w:val="auto"/>
          <w:highlight w:val="none"/>
        </w:rPr>
      </w:pPr>
      <w:r>
        <w:rPr>
          <w:rFonts w:hint="eastAsia"/>
          <w:color w:val="auto"/>
          <w:highlight w:val="none"/>
          <w:lang w:eastAsia="zh-CN"/>
        </w:rPr>
        <w:t>从化区温泉镇南大水库灌区(桃莲段)改造工程</w:t>
      </w:r>
      <w:r>
        <w:rPr>
          <w:rFonts w:hint="eastAsia"/>
          <w:color w:val="auto"/>
          <w:highlight w:val="none"/>
        </w:rPr>
        <w:t>是以排洪、灌溉为主的水利建设项目，具有较大的社会经济效益，因此本工程经济评价要进行国民经济评价。</w:t>
      </w:r>
    </w:p>
    <w:p>
      <w:pPr>
        <w:pStyle w:val="335"/>
        <w:spacing w:before="156" w:after="156"/>
        <w:rPr>
          <w:color w:val="auto"/>
          <w:highlight w:val="none"/>
        </w:rPr>
      </w:pPr>
      <w:bookmarkStart w:id="734" w:name="_Toc104976719"/>
      <w:bookmarkStart w:id="735" w:name="_Toc141754091"/>
      <w:bookmarkStart w:id="736" w:name="_Toc345571935"/>
      <w:bookmarkStart w:id="737" w:name="_Toc106070515"/>
      <w:bookmarkStart w:id="738" w:name="_Toc93376391"/>
      <w:bookmarkStart w:id="739" w:name="_Toc103411389"/>
      <w:bookmarkStart w:id="740" w:name="_Toc106069078"/>
      <w:bookmarkStart w:id="741" w:name="_Toc93999472"/>
      <w:bookmarkStart w:id="742" w:name="_Toc103419979"/>
      <w:bookmarkStart w:id="743" w:name="_Toc536295285"/>
      <w:r>
        <w:rPr>
          <w:rFonts w:hint="eastAsia"/>
          <w:color w:val="auto"/>
          <w:highlight w:val="none"/>
          <w:lang w:val="en-US" w:eastAsia="zh-CN"/>
        </w:rPr>
        <w:t>15</w:t>
      </w:r>
      <w:r>
        <w:rPr>
          <w:rFonts w:hint="eastAsia"/>
          <w:color w:val="auto"/>
          <w:highlight w:val="none"/>
        </w:rPr>
        <w:t>.3.2 费用计算</w:t>
      </w:r>
      <w:bookmarkEnd w:id="734"/>
      <w:bookmarkEnd w:id="735"/>
      <w:bookmarkEnd w:id="736"/>
      <w:bookmarkEnd w:id="737"/>
      <w:bookmarkEnd w:id="738"/>
      <w:bookmarkEnd w:id="739"/>
      <w:bookmarkEnd w:id="740"/>
      <w:bookmarkEnd w:id="741"/>
      <w:bookmarkEnd w:id="742"/>
      <w:bookmarkEnd w:id="743"/>
    </w:p>
    <w:p>
      <w:pPr>
        <w:ind w:firstLine="480"/>
        <w:rPr>
          <w:color w:val="auto"/>
          <w:highlight w:val="none"/>
        </w:rPr>
      </w:pPr>
      <w:r>
        <w:rPr>
          <w:rFonts w:hint="eastAsia"/>
          <w:color w:val="auto"/>
          <w:highlight w:val="none"/>
        </w:rPr>
        <w:t>水利建设项目计算期包括建设期、运行初期和正常运行期。根据渠道防护工程的工作特点，该整治工程完成后即可投入正常运行，因此无运行初期。本工程建设期为2年，生产期为</w:t>
      </w:r>
      <w:r>
        <w:rPr>
          <w:color w:val="auto"/>
          <w:highlight w:val="none"/>
        </w:rPr>
        <w:t>30</w:t>
      </w:r>
      <w:r>
        <w:rPr>
          <w:rFonts w:hint="eastAsia"/>
          <w:color w:val="auto"/>
          <w:highlight w:val="none"/>
        </w:rPr>
        <w:t>年，经济评价分析基准年选在施工期第一年，资金时间价值计算基准点选在年初，所有投入物和产出物均按年末发生和结算，考虑到本项目的费用和效益涉及的价格和参数较多，采用现行的财务价格代替影子价格。</w:t>
      </w:r>
    </w:p>
    <w:p>
      <w:pPr>
        <w:ind w:firstLine="480"/>
        <w:rPr>
          <w:color w:val="auto"/>
          <w:highlight w:val="none"/>
        </w:rPr>
      </w:pPr>
      <w:r>
        <w:rPr>
          <w:rFonts w:hint="eastAsia"/>
          <w:color w:val="auto"/>
          <w:highlight w:val="none"/>
        </w:rPr>
        <w:t>水利建设项目的费用包括项目的固定资产投资、流动资金和年运行费用。本次计算的工程费用是指干渠由现状标准达到设计标准所投入的费用。</w:t>
      </w:r>
    </w:p>
    <w:p>
      <w:pPr>
        <w:ind w:firstLine="480"/>
        <w:rPr>
          <w:color w:val="auto"/>
          <w:highlight w:val="none"/>
        </w:rPr>
      </w:pPr>
      <w:r>
        <w:rPr>
          <w:color w:val="auto"/>
          <w:highlight w:val="none"/>
        </w:rPr>
        <w:t>1</w:t>
      </w:r>
      <w:r>
        <w:rPr>
          <w:rFonts w:hint="eastAsia"/>
          <w:color w:val="auto"/>
          <w:highlight w:val="none"/>
        </w:rPr>
        <w:t>）固定资产投资</w:t>
      </w:r>
    </w:p>
    <w:p>
      <w:pPr>
        <w:ind w:firstLine="480"/>
        <w:rPr>
          <w:color w:val="auto"/>
          <w:highlight w:val="none"/>
        </w:rPr>
      </w:pPr>
      <w:r>
        <w:rPr>
          <w:rFonts w:hint="eastAsia"/>
          <w:color w:val="auto"/>
          <w:highlight w:val="none"/>
        </w:rPr>
        <w:t>本工程总投资</w:t>
      </w:r>
      <w:r>
        <w:rPr>
          <w:rFonts w:hint="eastAsia"/>
          <w:color w:val="auto"/>
          <w:highlight w:val="none"/>
          <w:lang w:val="en-US" w:eastAsia="zh-CN"/>
        </w:rPr>
        <w:t>835.52万</w:t>
      </w:r>
      <w:r>
        <w:rPr>
          <w:rFonts w:hint="eastAsia"/>
          <w:color w:val="auto"/>
          <w:highlight w:val="none"/>
        </w:rPr>
        <w:t>元。固定资产投资需按影子价格进行调整，剔除工程概算中属于国民经济内部转移支付的贷款利息、税金等，本工程调整后的总投资为</w:t>
      </w:r>
      <w:r>
        <w:rPr>
          <w:rFonts w:hint="eastAsia"/>
          <w:color w:val="auto"/>
          <w:highlight w:val="none"/>
          <w:lang w:val="en-US" w:eastAsia="zh-CN"/>
        </w:rPr>
        <w:t>774</w:t>
      </w:r>
      <w:r>
        <w:rPr>
          <w:rFonts w:hint="eastAsia"/>
          <w:color w:val="auto"/>
          <w:highlight w:val="none"/>
        </w:rPr>
        <w:t>万元。</w:t>
      </w:r>
    </w:p>
    <w:p>
      <w:pPr>
        <w:ind w:firstLine="480"/>
        <w:rPr>
          <w:color w:val="auto"/>
          <w:highlight w:val="none"/>
        </w:rPr>
      </w:pPr>
      <w:r>
        <w:rPr>
          <w:color w:val="auto"/>
          <w:highlight w:val="none"/>
        </w:rPr>
        <w:t>2</w:t>
      </w:r>
      <w:r>
        <w:rPr>
          <w:rFonts w:hint="eastAsia"/>
          <w:color w:val="auto"/>
          <w:highlight w:val="none"/>
        </w:rPr>
        <w:t>）年运行费</w:t>
      </w:r>
    </w:p>
    <w:p>
      <w:pPr>
        <w:ind w:firstLine="480"/>
        <w:rPr>
          <w:color w:val="auto"/>
          <w:highlight w:val="none"/>
        </w:rPr>
      </w:pPr>
      <w:r>
        <w:rPr>
          <w:rFonts w:hint="eastAsia"/>
          <w:color w:val="auto"/>
          <w:highlight w:val="none"/>
        </w:rPr>
        <w:t>年运行费包括工程维修费、管理费、燃料动力费及其它费用等。根据渠道的实际情况及类似工程比较，本工程年运行费用初估为</w:t>
      </w:r>
      <w:r>
        <w:rPr>
          <w:rFonts w:hint="eastAsia"/>
          <w:color w:val="auto"/>
          <w:highlight w:val="none"/>
          <w:lang w:val="en-US" w:eastAsia="zh-CN"/>
        </w:rPr>
        <w:t>17</w:t>
      </w:r>
      <w:r>
        <w:rPr>
          <w:rFonts w:hint="eastAsia"/>
          <w:color w:val="auto"/>
          <w:highlight w:val="none"/>
        </w:rPr>
        <w:t>万元</w:t>
      </w:r>
      <w:r>
        <w:rPr>
          <w:color w:val="auto"/>
          <w:highlight w:val="none"/>
        </w:rPr>
        <w:t>。</w:t>
      </w:r>
    </w:p>
    <w:p>
      <w:pPr>
        <w:ind w:firstLine="480"/>
        <w:rPr>
          <w:color w:val="auto"/>
          <w:highlight w:val="none"/>
        </w:rPr>
      </w:pPr>
      <w:r>
        <w:rPr>
          <w:color w:val="auto"/>
          <w:highlight w:val="none"/>
        </w:rPr>
        <w:t>3</w:t>
      </w:r>
      <w:r>
        <w:rPr>
          <w:rFonts w:hint="eastAsia"/>
          <w:color w:val="auto"/>
          <w:highlight w:val="none"/>
        </w:rPr>
        <w:t>）流动资金</w:t>
      </w:r>
    </w:p>
    <w:p>
      <w:pPr>
        <w:ind w:firstLine="480"/>
        <w:rPr>
          <w:color w:val="auto"/>
          <w:kern w:val="0"/>
          <w:highlight w:val="none"/>
          <w:lang w:bidi="en-US"/>
        </w:rPr>
      </w:pPr>
      <w:r>
        <w:rPr>
          <w:rFonts w:hint="eastAsia"/>
          <w:color w:val="auto"/>
          <w:highlight w:val="none"/>
        </w:rPr>
        <w:t>流动资金包括维持项目正常运行所需购买燃料、材料备品、备件和支付职工工资等的周转资金，</w:t>
      </w:r>
      <w:r>
        <w:rPr>
          <w:rFonts w:hint="eastAsia"/>
          <w:color w:val="auto"/>
          <w:kern w:val="0"/>
          <w:highlight w:val="none"/>
          <w:lang w:bidi="en-US"/>
        </w:rPr>
        <w:t>流动资金额按年运行费的25%列支，估算金额为</w:t>
      </w:r>
      <w:r>
        <w:rPr>
          <w:rFonts w:hint="eastAsia"/>
          <w:color w:val="auto"/>
          <w:kern w:val="0"/>
          <w:highlight w:val="none"/>
          <w:lang w:val="en-US" w:eastAsia="zh-CN" w:bidi="en-US"/>
        </w:rPr>
        <w:t>2</w:t>
      </w:r>
      <w:r>
        <w:rPr>
          <w:rFonts w:hint="eastAsia"/>
          <w:color w:val="auto"/>
          <w:kern w:val="0"/>
          <w:highlight w:val="none"/>
          <w:lang w:bidi="en-US"/>
        </w:rPr>
        <w:t>万元。</w:t>
      </w:r>
    </w:p>
    <w:p>
      <w:pPr>
        <w:pStyle w:val="335"/>
        <w:spacing w:before="156" w:after="156"/>
        <w:rPr>
          <w:color w:val="auto"/>
          <w:highlight w:val="none"/>
        </w:rPr>
      </w:pPr>
      <w:bookmarkStart w:id="744" w:name="_Toc536295286"/>
      <w:bookmarkStart w:id="745" w:name="_Toc141754092"/>
      <w:bookmarkStart w:id="746" w:name="_Toc106070516"/>
      <w:bookmarkStart w:id="747" w:name="_Toc103419980"/>
      <w:bookmarkStart w:id="748" w:name="_Toc104976720"/>
      <w:bookmarkStart w:id="749" w:name="_Toc103411390"/>
      <w:bookmarkStart w:id="750" w:name="_Toc345571936"/>
      <w:bookmarkStart w:id="751" w:name="_Toc93376392"/>
      <w:bookmarkStart w:id="752" w:name="_Toc106069079"/>
      <w:bookmarkStart w:id="753" w:name="_Toc93999473"/>
      <w:r>
        <w:rPr>
          <w:rFonts w:hint="eastAsia"/>
          <w:color w:val="auto"/>
          <w:highlight w:val="none"/>
          <w:lang w:val="en-US" w:eastAsia="zh-CN"/>
        </w:rPr>
        <w:t>15</w:t>
      </w:r>
      <w:r>
        <w:rPr>
          <w:rFonts w:hint="eastAsia"/>
          <w:color w:val="auto"/>
          <w:highlight w:val="none"/>
        </w:rPr>
        <w:t>.3.3 效益计算</w:t>
      </w:r>
      <w:bookmarkEnd w:id="744"/>
      <w:bookmarkEnd w:id="745"/>
      <w:bookmarkEnd w:id="746"/>
      <w:bookmarkEnd w:id="747"/>
      <w:bookmarkEnd w:id="748"/>
      <w:bookmarkEnd w:id="749"/>
      <w:bookmarkEnd w:id="750"/>
      <w:bookmarkEnd w:id="751"/>
      <w:bookmarkEnd w:id="752"/>
      <w:bookmarkEnd w:id="753"/>
    </w:p>
    <w:p>
      <w:pPr>
        <w:ind w:firstLine="480"/>
        <w:rPr>
          <w:color w:val="auto"/>
          <w:highlight w:val="none"/>
        </w:rPr>
      </w:pPr>
      <w:r>
        <w:rPr>
          <w:rFonts w:hint="eastAsia"/>
          <w:color w:val="auto"/>
          <w:highlight w:val="none"/>
          <w:lang w:eastAsia="zh-CN"/>
        </w:rPr>
        <w:t>从化区温泉镇南大水库灌区(桃莲段)改造工程</w:t>
      </w:r>
      <w:r>
        <w:rPr>
          <w:rFonts w:hint="eastAsia"/>
          <w:color w:val="auto"/>
          <w:highlight w:val="none"/>
        </w:rPr>
        <w:t>具有较大的经济效益、社会效益和环境效益。经济评价分析主要计算直接经济效益，间接效益及无形效益（如改善环境、促进地区经济发展、增进社会安定、政治影响等）虽然很大，由于定量较难，未予考虑。本工程的</w:t>
      </w:r>
      <w:r>
        <w:rPr>
          <w:color w:val="auto"/>
          <w:highlight w:val="none"/>
        </w:rPr>
        <w:t>效益主要为</w:t>
      </w:r>
      <w:r>
        <w:rPr>
          <w:rFonts w:hint="eastAsia"/>
          <w:color w:val="auto"/>
          <w:highlight w:val="none"/>
        </w:rPr>
        <w:t>防洪</w:t>
      </w:r>
      <w:r>
        <w:rPr>
          <w:color w:val="auto"/>
          <w:highlight w:val="none"/>
        </w:rPr>
        <w:t>排涝效益、</w:t>
      </w:r>
      <w:r>
        <w:rPr>
          <w:rFonts w:hint="eastAsia"/>
          <w:color w:val="auto"/>
          <w:highlight w:val="none"/>
        </w:rPr>
        <w:t>灌溉效益</w:t>
      </w:r>
      <w:r>
        <w:rPr>
          <w:color w:val="auto"/>
          <w:highlight w:val="none"/>
        </w:rPr>
        <w:t>。</w:t>
      </w:r>
    </w:p>
    <w:p>
      <w:pPr>
        <w:ind w:firstLine="480"/>
        <w:rPr>
          <w:color w:val="auto"/>
          <w:highlight w:val="none"/>
        </w:rPr>
      </w:pPr>
      <w:r>
        <w:rPr>
          <w:rFonts w:hint="eastAsia"/>
          <w:color w:val="auto"/>
          <w:highlight w:val="none"/>
        </w:rPr>
        <w:t>多年平均效益：本工程的兴建，即整治后的水浸、旱灾损失与现状水浸</w:t>
      </w:r>
      <w:r>
        <w:rPr>
          <w:color w:val="auto"/>
          <w:highlight w:val="none"/>
        </w:rPr>
        <w:t>、</w:t>
      </w:r>
      <w:r>
        <w:rPr>
          <w:rFonts w:hint="eastAsia"/>
          <w:color w:val="auto"/>
          <w:highlight w:val="none"/>
        </w:rPr>
        <w:t>旱灾损失差值在本工程的分摊效益值。根据现状调查统计资料，参考</w:t>
      </w:r>
      <w:r>
        <w:rPr>
          <w:color w:val="auto"/>
          <w:highlight w:val="none"/>
        </w:rPr>
        <w:t>同类工程效益计算，</w:t>
      </w:r>
      <w:r>
        <w:rPr>
          <w:rFonts w:hint="eastAsia"/>
          <w:color w:val="auto"/>
          <w:highlight w:val="none"/>
          <w:lang w:eastAsia="zh-CN"/>
        </w:rPr>
        <w:t>南大水库灌区</w:t>
      </w:r>
      <w:r>
        <w:rPr>
          <w:rFonts w:hint="eastAsia"/>
          <w:color w:val="auto"/>
          <w:highlight w:val="none"/>
        </w:rPr>
        <w:t>合计年增加产值分别约为</w:t>
      </w:r>
      <w:r>
        <w:rPr>
          <w:rFonts w:hint="eastAsia"/>
          <w:color w:val="auto"/>
          <w:highlight w:val="none"/>
          <w:lang w:val="en-US" w:eastAsia="zh-CN"/>
        </w:rPr>
        <w:t>20</w:t>
      </w:r>
      <w:r>
        <w:rPr>
          <w:color w:val="auto"/>
          <w:highlight w:val="none"/>
        </w:rPr>
        <w:t>、1</w:t>
      </w:r>
      <w:r>
        <w:rPr>
          <w:rFonts w:hint="eastAsia"/>
          <w:color w:val="auto"/>
          <w:highlight w:val="none"/>
          <w:lang w:val="en-US" w:eastAsia="zh-CN"/>
        </w:rPr>
        <w:t>00</w:t>
      </w:r>
      <w:r>
        <w:rPr>
          <w:rFonts w:hint="eastAsia"/>
          <w:color w:val="auto"/>
          <w:highlight w:val="none"/>
        </w:rPr>
        <w:t>万元，共</w:t>
      </w:r>
      <w:r>
        <w:rPr>
          <w:rFonts w:hint="eastAsia"/>
          <w:color w:val="auto"/>
          <w:highlight w:val="none"/>
          <w:lang w:val="en-US" w:eastAsia="zh-CN"/>
        </w:rPr>
        <w:t>120</w:t>
      </w:r>
      <w:r>
        <w:rPr>
          <w:color w:val="auto"/>
          <w:highlight w:val="none"/>
        </w:rPr>
        <w:t>万元。</w:t>
      </w:r>
      <w:r>
        <w:rPr>
          <w:rFonts w:hint="eastAsia"/>
          <w:color w:val="auto"/>
          <w:highlight w:val="none"/>
        </w:rPr>
        <w:t>随着经济的发展，多年平均效益按</w:t>
      </w:r>
      <w:r>
        <w:rPr>
          <w:color w:val="auto"/>
          <w:highlight w:val="none"/>
        </w:rPr>
        <w:t>3%</w:t>
      </w:r>
      <w:r>
        <w:rPr>
          <w:rFonts w:hint="eastAsia"/>
          <w:color w:val="auto"/>
          <w:highlight w:val="none"/>
        </w:rPr>
        <w:t>的增长率计。</w:t>
      </w:r>
    </w:p>
    <w:p>
      <w:pPr>
        <w:pStyle w:val="335"/>
        <w:spacing w:before="156" w:after="156"/>
        <w:rPr>
          <w:color w:val="auto"/>
          <w:highlight w:val="none"/>
        </w:rPr>
      </w:pPr>
      <w:bookmarkStart w:id="754" w:name="_Toc93376393"/>
      <w:bookmarkStart w:id="755" w:name="_Toc103419981"/>
      <w:bookmarkStart w:id="756" w:name="_Toc103411391"/>
      <w:bookmarkStart w:id="757" w:name="_Toc536295287"/>
      <w:bookmarkStart w:id="758" w:name="_Toc345571937"/>
      <w:bookmarkStart w:id="759" w:name="_Toc141754093"/>
      <w:bookmarkStart w:id="760" w:name="_Toc106070517"/>
      <w:bookmarkStart w:id="761" w:name="_Toc93999474"/>
      <w:bookmarkStart w:id="762" w:name="_Toc106069080"/>
      <w:bookmarkStart w:id="763" w:name="_Toc104976721"/>
      <w:r>
        <w:rPr>
          <w:rFonts w:hint="eastAsia"/>
          <w:color w:val="auto"/>
          <w:highlight w:val="none"/>
          <w:lang w:val="en-US" w:eastAsia="zh-CN"/>
        </w:rPr>
        <w:t>15</w:t>
      </w:r>
      <w:r>
        <w:rPr>
          <w:rFonts w:hint="eastAsia"/>
          <w:color w:val="auto"/>
          <w:highlight w:val="none"/>
        </w:rPr>
        <w:t>.3.4 国民经济盈利能力分析</w:t>
      </w:r>
      <w:bookmarkEnd w:id="754"/>
      <w:bookmarkEnd w:id="755"/>
      <w:bookmarkEnd w:id="756"/>
      <w:bookmarkEnd w:id="757"/>
      <w:bookmarkEnd w:id="758"/>
      <w:bookmarkEnd w:id="759"/>
      <w:bookmarkEnd w:id="760"/>
      <w:bookmarkEnd w:id="761"/>
      <w:bookmarkEnd w:id="762"/>
      <w:bookmarkEnd w:id="763"/>
    </w:p>
    <w:p>
      <w:pPr>
        <w:ind w:firstLine="480"/>
        <w:rPr>
          <w:color w:val="auto"/>
          <w:highlight w:val="none"/>
        </w:rPr>
      </w:pPr>
      <w:bookmarkStart w:id="764" w:name="_Toc99954847"/>
      <w:bookmarkStart w:id="765" w:name="_Toc99953365"/>
      <w:bookmarkStart w:id="766" w:name="_Toc103411392"/>
      <w:bookmarkStart w:id="767" w:name="_Toc104976722"/>
      <w:bookmarkStart w:id="768" w:name="_Toc106070518"/>
      <w:bookmarkStart w:id="769" w:name="_Toc103419982"/>
      <w:bookmarkStart w:id="770" w:name="_Toc106069081"/>
      <w:r>
        <w:rPr>
          <w:rFonts w:hint="eastAsia"/>
          <w:color w:val="auto"/>
          <w:highlight w:val="none"/>
        </w:rPr>
        <w:t>采用上述费用与效益计算经济内部收益率、经济净现值、经济效益费用比。</w:t>
      </w:r>
    </w:p>
    <w:p>
      <w:pPr>
        <w:ind w:firstLine="480"/>
        <w:rPr>
          <w:color w:val="auto"/>
          <w:highlight w:val="none"/>
        </w:rPr>
      </w:pPr>
      <w:r>
        <w:rPr>
          <w:rFonts w:hint="eastAsia"/>
          <w:color w:val="auto"/>
          <w:highlight w:val="none"/>
        </w:rPr>
        <w:t>经济内部收益率是项目计算期内各年的净效益现值累计等于零时的折现率；经济净现值是用社会折现率，将项目计算期内各年的净效益折算到计算期初的现值之和；经济效益费用比是用社会折现率将项目计算期内效益现值与费用现值之比。经济内部</w:t>
      </w:r>
      <w:r>
        <w:rPr>
          <w:color w:val="auto"/>
          <w:highlight w:val="none"/>
        </w:rPr>
        <w:t xml:space="preserve">  </w:t>
      </w:r>
      <w:r>
        <w:rPr>
          <w:rFonts w:hint="eastAsia"/>
          <w:color w:val="auto"/>
          <w:highlight w:val="none"/>
        </w:rPr>
        <w:t>收益率（</w:t>
      </w:r>
      <w:r>
        <w:rPr>
          <w:color w:val="auto"/>
          <w:highlight w:val="none"/>
        </w:rPr>
        <w:t>EIRR</w:t>
      </w:r>
      <w:r>
        <w:rPr>
          <w:rFonts w:hint="eastAsia"/>
          <w:color w:val="auto"/>
          <w:highlight w:val="none"/>
        </w:rPr>
        <w:t>）的表达式为：</w:t>
      </w:r>
    </w:p>
    <w:p>
      <w:pPr>
        <w:ind w:firstLine="480"/>
        <w:rPr>
          <w:rFonts w:ascii="宋体" w:hAnsi="宋体"/>
          <w:color w:val="auto"/>
          <w:highlight w:val="none"/>
        </w:rPr>
      </w:pPr>
      <w:r>
        <w:rPr>
          <w:color w:val="auto"/>
          <w:position w:val="-28"/>
          <w:highlight w:val="none"/>
        </w:rPr>
        <w:object>
          <v:shape id="_x0000_i1065" o:spt="75" type="#_x0000_t75" style="height:31.5pt;width:130.5pt;" o:ole="t" filled="f" o:preferrelative="t" stroked="f" coordsize="21600,21600">
            <v:path/>
            <v:fill on="f" focussize="0,0"/>
            <v:stroke on="f" joinstyle="miter"/>
            <v:imagedata r:id="rId130" o:title=""/>
            <o:lock v:ext="edit" aspectratio="t"/>
            <w10:wrap type="none"/>
            <w10:anchorlock/>
          </v:shape>
          <o:OLEObject Type="Embed" ProgID="Equation.DSMT4" ShapeID="_x0000_i1065" DrawAspect="Content" ObjectID="_1468075765" r:id="rId129">
            <o:LockedField>false</o:LockedField>
          </o:OLEObject>
        </w:object>
      </w:r>
    </w:p>
    <w:p>
      <w:pPr>
        <w:ind w:firstLine="480"/>
        <w:rPr>
          <w:color w:val="auto"/>
          <w:highlight w:val="none"/>
        </w:rPr>
      </w:pPr>
      <w:r>
        <w:rPr>
          <w:rFonts w:hint="eastAsia"/>
          <w:color w:val="auto"/>
          <w:highlight w:val="none"/>
        </w:rPr>
        <w:t>经济净现值的（</w:t>
      </w:r>
      <w:r>
        <w:rPr>
          <w:color w:val="auto"/>
          <w:highlight w:val="none"/>
        </w:rPr>
        <w:t>ENPV</w:t>
      </w:r>
      <w:r>
        <w:rPr>
          <w:rFonts w:hint="eastAsia"/>
          <w:color w:val="auto"/>
          <w:highlight w:val="none"/>
        </w:rPr>
        <w:t>）表达式为：</w:t>
      </w:r>
    </w:p>
    <w:p>
      <w:pPr>
        <w:ind w:firstLine="480"/>
        <w:rPr>
          <w:color w:val="auto"/>
          <w:highlight w:val="none"/>
        </w:rPr>
      </w:pPr>
      <w:r>
        <w:rPr>
          <w:color w:val="auto"/>
          <w:position w:val="-28"/>
          <w:highlight w:val="none"/>
        </w:rPr>
        <w:object>
          <v:shape id="_x0000_i1066" o:spt="75" type="#_x0000_t75" style="height:31.5pt;width:144.75pt;" o:ole="t" filled="f" o:preferrelative="t" stroked="f" coordsize="21600,21600">
            <v:path/>
            <v:fill on="f" focussize="0,0"/>
            <v:stroke on="f" joinstyle="miter"/>
            <v:imagedata r:id="rId132" o:title=""/>
            <o:lock v:ext="edit" aspectratio="t"/>
            <w10:wrap type="none"/>
            <w10:anchorlock/>
          </v:shape>
          <o:OLEObject Type="Embed" ProgID="Equation.3" ShapeID="_x0000_i1066" DrawAspect="Content" ObjectID="_1468075766" r:id="rId131">
            <o:LockedField>false</o:LockedField>
          </o:OLEObject>
        </w:object>
      </w:r>
    </w:p>
    <w:p>
      <w:pPr>
        <w:ind w:firstLine="480"/>
        <w:rPr>
          <w:color w:val="auto"/>
          <w:highlight w:val="none"/>
        </w:rPr>
      </w:pPr>
      <w:r>
        <w:rPr>
          <w:rFonts w:hint="eastAsia"/>
          <w:color w:val="auto"/>
          <w:highlight w:val="none"/>
        </w:rPr>
        <w:t>经济效益费用比（</w:t>
      </w:r>
      <w:r>
        <w:rPr>
          <w:color w:val="auto"/>
          <w:highlight w:val="none"/>
        </w:rPr>
        <w:t>EBCR</w:t>
      </w:r>
      <w:r>
        <w:rPr>
          <w:rFonts w:hint="eastAsia"/>
          <w:color w:val="auto"/>
          <w:highlight w:val="none"/>
        </w:rPr>
        <w:t>）的表达式为：</w:t>
      </w:r>
    </w:p>
    <w:p>
      <w:pPr>
        <w:ind w:firstLine="480"/>
        <w:rPr>
          <w:color w:val="auto"/>
          <w:highlight w:val="none"/>
        </w:rPr>
      </w:pPr>
      <w:r>
        <w:rPr>
          <w:color w:val="auto"/>
          <w:position w:val="-60"/>
          <w:highlight w:val="none"/>
        </w:rPr>
        <w:object>
          <v:shape id="_x0000_i1067" o:spt="75" type="#_x0000_t75" style="height:65.25pt;width:114.75pt;" o:ole="t" filled="f" o:preferrelative="t" stroked="f" coordsize="21600,21600">
            <v:path/>
            <v:fill on="f" focussize="0,0"/>
            <v:stroke on="f" joinstyle="miter"/>
            <v:imagedata r:id="rId134" o:title=""/>
            <o:lock v:ext="edit" aspectratio="t"/>
            <w10:wrap type="none"/>
            <w10:anchorlock/>
          </v:shape>
          <o:OLEObject Type="Embed" ProgID="Equation.3" ShapeID="_x0000_i1067" DrawAspect="Content" ObjectID="_1468075767" r:id="rId133">
            <o:LockedField>false</o:LockedField>
          </o:OLEObject>
        </w:object>
      </w:r>
    </w:p>
    <w:p>
      <w:pPr>
        <w:ind w:firstLine="480"/>
        <w:rPr>
          <w:rFonts w:ascii="宋体" w:hAnsi="宋体"/>
          <w:color w:val="auto"/>
          <w:highlight w:val="none"/>
        </w:rPr>
      </w:pPr>
      <w:r>
        <w:rPr>
          <w:rFonts w:hint="eastAsia" w:ascii="宋体" w:hAnsi="宋体"/>
          <w:color w:val="auto"/>
          <w:highlight w:val="none"/>
        </w:rPr>
        <w:t>式中：B——年效益</w:t>
      </w:r>
    </w:p>
    <w:p>
      <w:pPr>
        <w:ind w:firstLine="480"/>
        <w:rPr>
          <w:rFonts w:ascii="宋体" w:hAnsi="宋体"/>
          <w:color w:val="auto"/>
          <w:highlight w:val="none"/>
        </w:rPr>
      </w:pPr>
      <w:r>
        <w:rPr>
          <w:rFonts w:hint="eastAsia" w:ascii="宋体" w:hAnsi="宋体"/>
          <w:color w:val="auto"/>
          <w:highlight w:val="none"/>
        </w:rPr>
        <w:t>C——年费用</w:t>
      </w:r>
    </w:p>
    <w:p>
      <w:pPr>
        <w:ind w:firstLine="480"/>
        <w:rPr>
          <w:rFonts w:ascii="宋体" w:hAnsi="宋体"/>
          <w:color w:val="auto"/>
          <w:highlight w:val="none"/>
        </w:rPr>
      </w:pPr>
      <w:r>
        <w:rPr>
          <w:rFonts w:hint="eastAsia" w:ascii="宋体" w:hAnsi="宋体"/>
          <w:color w:val="auto"/>
          <w:highlight w:val="none"/>
        </w:rPr>
        <w:t>n——计算期</w:t>
      </w:r>
    </w:p>
    <w:p>
      <w:pPr>
        <w:ind w:firstLine="480"/>
        <w:rPr>
          <w:rFonts w:ascii="宋体" w:hAnsi="宋体"/>
          <w:color w:val="auto"/>
          <w:highlight w:val="none"/>
        </w:rPr>
      </w:pPr>
      <w:r>
        <w:rPr>
          <w:rFonts w:hint="eastAsia" w:ascii="宋体" w:hAnsi="宋体"/>
          <w:color w:val="auto"/>
          <w:highlight w:val="none"/>
        </w:rPr>
        <w:t>t——计算期各年的序号</w:t>
      </w:r>
    </w:p>
    <w:p>
      <w:pPr>
        <w:ind w:firstLine="480"/>
        <w:rPr>
          <w:rFonts w:ascii="宋体" w:hAnsi="宋体"/>
          <w:color w:val="auto"/>
          <w:highlight w:val="none"/>
        </w:rPr>
      </w:pPr>
      <w:r>
        <w:rPr>
          <w:rFonts w:hint="eastAsia" w:ascii="宋体" w:hAnsi="宋体"/>
          <w:color w:val="auto"/>
          <w:highlight w:val="none"/>
        </w:rPr>
        <w:t>i</w:t>
      </w:r>
      <w:r>
        <w:rPr>
          <w:rFonts w:hint="eastAsia" w:ascii="宋体" w:hAnsi="宋体"/>
          <w:color w:val="auto"/>
          <w:highlight w:val="none"/>
          <w:vertAlign w:val="subscript"/>
        </w:rPr>
        <w:t>s</w:t>
      </w:r>
      <w:r>
        <w:rPr>
          <w:rFonts w:hint="eastAsia" w:ascii="宋体" w:hAnsi="宋体"/>
          <w:color w:val="auto"/>
          <w:highlight w:val="none"/>
        </w:rPr>
        <w:t>——社会折现率</w:t>
      </w:r>
    </w:p>
    <w:p>
      <w:pPr>
        <w:ind w:firstLine="480"/>
        <w:rPr>
          <w:color w:val="auto"/>
          <w:highlight w:val="none"/>
        </w:rPr>
      </w:pPr>
      <w:r>
        <w:rPr>
          <w:rFonts w:hint="eastAsia"/>
          <w:color w:val="auto"/>
          <w:highlight w:val="none"/>
        </w:rPr>
        <w:t>根据国民经济效益费用流量分析计算，本工程的各项评价指标如下：</w:t>
      </w:r>
    </w:p>
    <w:p>
      <w:pPr>
        <w:ind w:firstLine="480"/>
        <w:rPr>
          <w:color w:val="auto"/>
          <w:highlight w:val="none"/>
        </w:rPr>
      </w:pPr>
      <w:r>
        <w:rPr>
          <w:rFonts w:hint="eastAsia"/>
          <w:color w:val="auto"/>
          <w:highlight w:val="none"/>
        </w:rPr>
        <w:t>经济内部收益率</w:t>
      </w:r>
      <w:r>
        <w:rPr>
          <w:color w:val="auto"/>
          <w:highlight w:val="none"/>
        </w:rPr>
        <w:t>:EIRR=9.92%</w:t>
      </w:r>
      <w:r>
        <w:rPr>
          <w:rFonts w:hint="eastAsia"/>
          <w:color w:val="auto"/>
          <w:highlight w:val="none"/>
        </w:rPr>
        <w:t>；</w:t>
      </w:r>
    </w:p>
    <w:p>
      <w:pPr>
        <w:ind w:firstLine="480"/>
        <w:rPr>
          <w:color w:val="auto"/>
          <w:highlight w:val="none"/>
        </w:rPr>
      </w:pPr>
      <w:r>
        <w:rPr>
          <w:rFonts w:hint="eastAsia"/>
          <w:color w:val="auto"/>
          <w:highlight w:val="none"/>
        </w:rPr>
        <w:t>经济效益费用比</w:t>
      </w:r>
      <w:r>
        <w:rPr>
          <w:color w:val="auto"/>
          <w:highlight w:val="none"/>
        </w:rPr>
        <w:t>: EBCR=1.21</w:t>
      </w:r>
      <w:r>
        <w:rPr>
          <w:rFonts w:hint="eastAsia"/>
          <w:color w:val="auto"/>
          <w:highlight w:val="none"/>
        </w:rPr>
        <w:t>；</w:t>
      </w:r>
    </w:p>
    <w:p>
      <w:pPr>
        <w:ind w:firstLine="480"/>
        <w:rPr>
          <w:color w:val="auto"/>
          <w:highlight w:val="none"/>
        </w:rPr>
      </w:pPr>
      <w:r>
        <w:rPr>
          <w:rFonts w:hint="eastAsia"/>
          <w:color w:val="auto"/>
          <w:highlight w:val="none"/>
        </w:rPr>
        <w:t>经济净现值：</w:t>
      </w:r>
      <w:r>
        <w:rPr>
          <w:color w:val="auto"/>
          <w:highlight w:val="none"/>
        </w:rPr>
        <w:t>ENPV=</w:t>
      </w:r>
      <w:r>
        <w:rPr>
          <w:rFonts w:hint="eastAsia"/>
          <w:color w:val="auto"/>
          <w:highlight w:val="none"/>
          <w:lang w:val="en-US" w:eastAsia="zh-CN"/>
        </w:rPr>
        <w:t>3</w:t>
      </w:r>
      <w:r>
        <w:rPr>
          <w:color w:val="auto"/>
          <w:highlight w:val="none"/>
        </w:rPr>
        <w:t>50.12</w:t>
      </w:r>
      <w:r>
        <w:rPr>
          <w:rFonts w:hint="eastAsia"/>
          <w:color w:val="auto"/>
          <w:highlight w:val="none"/>
        </w:rPr>
        <w:t>万元。</w:t>
      </w:r>
    </w:p>
    <w:p>
      <w:pPr>
        <w:ind w:firstLine="480"/>
        <w:rPr>
          <w:color w:val="auto"/>
          <w:highlight w:val="none"/>
        </w:rPr>
      </w:pPr>
      <w:r>
        <w:rPr>
          <w:rFonts w:hint="eastAsia"/>
          <w:color w:val="auto"/>
          <w:highlight w:val="none"/>
        </w:rPr>
        <w:t>结果分析：本工程的经济内部收益率大于社会折现率</w:t>
      </w:r>
      <w:r>
        <w:rPr>
          <w:color w:val="auto"/>
          <w:highlight w:val="none"/>
        </w:rPr>
        <w:t>8%</w:t>
      </w:r>
      <w:r>
        <w:rPr>
          <w:rFonts w:hint="eastAsia"/>
          <w:color w:val="auto"/>
          <w:highlight w:val="none"/>
        </w:rPr>
        <w:t>，经济净现值大于零，效益费用比大于</w:t>
      </w:r>
      <w:r>
        <w:rPr>
          <w:color w:val="auto"/>
          <w:highlight w:val="none"/>
        </w:rPr>
        <w:t>1.0</w:t>
      </w:r>
      <w:r>
        <w:rPr>
          <w:rFonts w:hint="eastAsia"/>
          <w:color w:val="auto"/>
          <w:highlight w:val="none"/>
        </w:rPr>
        <w:t>，各项经济评价指标均满足规范要求。</w:t>
      </w:r>
    </w:p>
    <w:p>
      <w:pPr>
        <w:pStyle w:val="335"/>
        <w:spacing w:before="156" w:after="156"/>
        <w:rPr>
          <w:rFonts w:ascii="黑体" w:hAnsi="宋体"/>
          <w:b/>
          <w:color w:val="auto"/>
          <w:highlight w:val="none"/>
        </w:rPr>
      </w:pPr>
      <w:bookmarkStart w:id="771" w:name="_Toc536295288"/>
      <w:r>
        <w:rPr>
          <w:rFonts w:hint="eastAsia"/>
          <w:color w:val="auto"/>
          <w:highlight w:val="none"/>
          <w:lang w:val="en-US" w:eastAsia="zh-CN"/>
        </w:rPr>
        <w:t>15</w:t>
      </w:r>
      <w:r>
        <w:rPr>
          <w:rFonts w:hint="eastAsia"/>
          <w:color w:val="auto"/>
          <w:highlight w:val="none"/>
        </w:rPr>
        <w:t>.3.</w:t>
      </w:r>
      <w:r>
        <w:rPr>
          <w:color w:val="auto"/>
          <w:highlight w:val="none"/>
        </w:rPr>
        <w:t>5</w:t>
      </w:r>
      <w:r>
        <w:rPr>
          <w:rFonts w:hint="eastAsia"/>
          <w:color w:val="auto"/>
          <w:highlight w:val="none"/>
        </w:rPr>
        <w:t xml:space="preserve"> 计算结果及敏感性分析</w:t>
      </w:r>
      <w:bookmarkEnd w:id="771"/>
    </w:p>
    <w:p>
      <w:pPr>
        <w:ind w:firstLine="480"/>
        <w:rPr>
          <w:color w:val="auto"/>
          <w:highlight w:val="none"/>
        </w:rPr>
      </w:pPr>
      <w:r>
        <w:rPr>
          <w:rFonts w:hint="eastAsia"/>
          <w:color w:val="auto"/>
          <w:highlight w:val="none"/>
        </w:rPr>
        <w:t>为分析工程的抗风险能力，进行国民经济敏感性分析，主要研究投资与效益因素发生变化时，对经济评价指标的影响程度，敏感性分析结果如下：</w:t>
      </w:r>
    </w:p>
    <w:p>
      <w:pPr>
        <w:pStyle w:val="333"/>
        <w:rPr>
          <w:rFonts w:hint="eastAsia"/>
          <w:color w:val="auto"/>
          <w:highlight w:val="none"/>
        </w:rPr>
      </w:pPr>
      <w:r>
        <w:rPr>
          <w:rFonts w:hint="eastAsia"/>
          <w:color w:val="auto"/>
          <w:highlight w:val="none"/>
        </w:rPr>
        <w:br w:type="page"/>
      </w:r>
    </w:p>
    <w:p>
      <w:pPr>
        <w:pStyle w:val="333"/>
        <w:rPr>
          <w:color w:val="auto"/>
          <w:highlight w:val="none"/>
        </w:rPr>
      </w:pPr>
      <w:r>
        <w:rPr>
          <w:rFonts w:hint="eastAsia"/>
          <w:color w:val="auto"/>
          <w:highlight w:val="none"/>
        </w:rPr>
        <w:t>表1</w:t>
      </w:r>
      <w:r>
        <w:rPr>
          <w:rFonts w:hint="eastAsia"/>
          <w:color w:val="auto"/>
          <w:highlight w:val="none"/>
          <w:lang w:val="en-US" w:eastAsia="zh-CN"/>
        </w:rPr>
        <w:t>5</w:t>
      </w:r>
      <w:r>
        <w:rPr>
          <w:rFonts w:hint="eastAsia"/>
          <w:color w:val="auto"/>
          <w:highlight w:val="none"/>
        </w:rPr>
        <w:t>-1  国民经济评价指标及敏感性分析表</w:t>
      </w:r>
    </w:p>
    <w:tbl>
      <w:tblPr>
        <w:tblStyle w:val="47"/>
        <w:tblW w:w="85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998"/>
        <w:gridCol w:w="1843"/>
        <w:gridCol w:w="1979"/>
        <w:gridCol w:w="19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2694" w:type="dxa"/>
            <w:gridSpan w:val="2"/>
            <w:vAlign w:val="center"/>
          </w:tcPr>
          <w:p>
            <w:pPr>
              <w:widowControl/>
              <w:spacing w:line="276" w:lineRule="auto"/>
              <w:ind w:firstLine="0" w:firstLineChars="0"/>
              <w:jc w:val="center"/>
              <w:rPr>
                <w:color w:val="auto"/>
                <w:highlight w:val="none"/>
              </w:rPr>
            </w:pPr>
            <w:r>
              <w:rPr>
                <w:color w:val="auto"/>
                <w:highlight w:val="none"/>
              </w:rPr>
              <w:t>指标</w:t>
            </w:r>
          </w:p>
        </w:tc>
        <w:tc>
          <w:tcPr>
            <w:tcW w:w="1843" w:type="dxa"/>
            <w:vAlign w:val="center"/>
          </w:tcPr>
          <w:p>
            <w:pPr>
              <w:widowControl/>
              <w:spacing w:line="276" w:lineRule="auto"/>
              <w:ind w:firstLine="0" w:firstLineChars="0"/>
              <w:jc w:val="center"/>
              <w:rPr>
                <w:color w:val="auto"/>
                <w:highlight w:val="none"/>
              </w:rPr>
            </w:pPr>
            <w:r>
              <w:rPr>
                <w:color w:val="auto"/>
                <w:highlight w:val="none"/>
              </w:rPr>
              <w:t>经济净现值ENPV（万元）</w:t>
            </w:r>
          </w:p>
        </w:tc>
        <w:tc>
          <w:tcPr>
            <w:tcW w:w="1979" w:type="dxa"/>
            <w:vAlign w:val="center"/>
          </w:tcPr>
          <w:p>
            <w:pPr>
              <w:widowControl/>
              <w:spacing w:line="276" w:lineRule="auto"/>
              <w:ind w:firstLine="0" w:firstLineChars="0"/>
              <w:jc w:val="center"/>
              <w:rPr>
                <w:color w:val="auto"/>
                <w:highlight w:val="none"/>
              </w:rPr>
            </w:pPr>
            <w:r>
              <w:rPr>
                <w:color w:val="auto"/>
                <w:highlight w:val="none"/>
              </w:rPr>
              <w:t>经济效益费用比EBCR</w:t>
            </w:r>
          </w:p>
        </w:tc>
        <w:tc>
          <w:tcPr>
            <w:tcW w:w="1990" w:type="dxa"/>
            <w:vAlign w:val="center"/>
          </w:tcPr>
          <w:p>
            <w:pPr>
              <w:widowControl/>
              <w:spacing w:line="276" w:lineRule="auto"/>
              <w:ind w:firstLine="0" w:firstLineChars="0"/>
              <w:jc w:val="center"/>
              <w:rPr>
                <w:color w:val="auto"/>
                <w:highlight w:val="none"/>
              </w:rPr>
            </w:pPr>
            <w:r>
              <w:rPr>
                <w:color w:val="auto"/>
                <w:highlight w:val="none"/>
              </w:rPr>
              <w:t>经济内部回收率EIRR(%)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1696" w:type="dxa"/>
            <w:vAlign w:val="center"/>
          </w:tcPr>
          <w:p>
            <w:pPr>
              <w:widowControl/>
              <w:spacing w:line="276" w:lineRule="auto"/>
              <w:ind w:firstLine="0" w:firstLineChars="0"/>
              <w:jc w:val="center"/>
              <w:rPr>
                <w:color w:val="auto"/>
                <w:highlight w:val="none"/>
              </w:rPr>
            </w:pPr>
            <w:r>
              <w:rPr>
                <w:color w:val="auto"/>
                <w:highlight w:val="none"/>
              </w:rPr>
              <w:t>基本方案</w:t>
            </w:r>
          </w:p>
        </w:tc>
        <w:tc>
          <w:tcPr>
            <w:tcW w:w="998" w:type="dxa"/>
            <w:vAlign w:val="center"/>
          </w:tcPr>
          <w:p>
            <w:pPr>
              <w:widowControl/>
              <w:spacing w:line="276" w:lineRule="auto"/>
              <w:ind w:firstLine="0" w:firstLineChars="0"/>
              <w:jc w:val="center"/>
              <w:rPr>
                <w:color w:val="auto"/>
                <w:highlight w:val="none"/>
              </w:rPr>
            </w:pPr>
            <w:r>
              <w:rPr>
                <w:color w:val="auto"/>
                <w:highlight w:val="none"/>
              </w:rPr>
              <w:t>Is=8%</w:t>
            </w:r>
          </w:p>
        </w:tc>
        <w:tc>
          <w:tcPr>
            <w:tcW w:w="1843" w:type="dxa"/>
            <w:vAlign w:val="center"/>
          </w:tcPr>
          <w:p>
            <w:pPr>
              <w:widowControl/>
              <w:spacing w:line="240" w:lineRule="auto"/>
              <w:ind w:firstLine="0" w:firstLineChars="0"/>
              <w:jc w:val="center"/>
              <w:rPr>
                <w:color w:val="auto"/>
                <w:kern w:val="0"/>
                <w:highlight w:val="none"/>
              </w:rPr>
            </w:pPr>
            <w:r>
              <w:rPr>
                <w:rFonts w:hint="eastAsia"/>
                <w:color w:val="auto"/>
                <w:highlight w:val="none"/>
                <w:lang w:val="en-US" w:eastAsia="zh-CN"/>
              </w:rPr>
              <w:t>3</w:t>
            </w:r>
            <w:r>
              <w:rPr>
                <w:color w:val="auto"/>
                <w:highlight w:val="none"/>
              </w:rPr>
              <w:t xml:space="preserve">50.12 </w:t>
            </w:r>
          </w:p>
        </w:tc>
        <w:tc>
          <w:tcPr>
            <w:tcW w:w="1979" w:type="dxa"/>
            <w:vAlign w:val="center"/>
          </w:tcPr>
          <w:p>
            <w:pPr>
              <w:spacing w:line="240" w:lineRule="auto"/>
              <w:ind w:firstLine="0" w:firstLineChars="0"/>
              <w:jc w:val="center"/>
              <w:rPr>
                <w:color w:val="auto"/>
                <w:highlight w:val="none"/>
              </w:rPr>
            </w:pPr>
            <w:r>
              <w:rPr>
                <w:color w:val="auto"/>
                <w:highlight w:val="none"/>
              </w:rPr>
              <w:t xml:space="preserve">1.21 </w:t>
            </w:r>
          </w:p>
        </w:tc>
        <w:tc>
          <w:tcPr>
            <w:tcW w:w="1990" w:type="dxa"/>
            <w:vAlign w:val="center"/>
          </w:tcPr>
          <w:p>
            <w:pPr>
              <w:spacing w:line="240" w:lineRule="auto"/>
              <w:ind w:firstLine="0" w:firstLineChars="0"/>
              <w:jc w:val="center"/>
              <w:rPr>
                <w:color w:val="auto"/>
                <w:highlight w:val="none"/>
              </w:rPr>
            </w:pPr>
            <w:r>
              <w:rPr>
                <w:color w:val="auto"/>
                <w:highlight w:val="none"/>
              </w:rPr>
              <w:t xml:space="preserve">9.92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1696" w:type="dxa"/>
            <w:vAlign w:val="center"/>
          </w:tcPr>
          <w:p>
            <w:pPr>
              <w:widowControl/>
              <w:spacing w:line="276" w:lineRule="auto"/>
              <w:ind w:firstLine="0" w:firstLineChars="0"/>
              <w:jc w:val="center"/>
              <w:rPr>
                <w:color w:val="auto"/>
                <w:highlight w:val="none"/>
              </w:rPr>
            </w:pPr>
            <w:r>
              <w:rPr>
                <w:color w:val="auto"/>
                <w:highlight w:val="none"/>
              </w:rPr>
              <w:t>投资增加10%</w:t>
            </w:r>
          </w:p>
        </w:tc>
        <w:tc>
          <w:tcPr>
            <w:tcW w:w="998" w:type="dxa"/>
            <w:vAlign w:val="center"/>
          </w:tcPr>
          <w:p>
            <w:pPr>
              <w:widowControl/>
              <w:spacing w:line="276" w:lineRule="auto"/>
              <w:ind w:firstLine="0" w:firstLineChars="0"/>
              <w:jc w:val="center"/>
              <w:rPr>
                <w:color w:val="auto"/>
                <w:highlight w:val="none"/>
              </w:rPr>
            </w:pPr>
            <w:r>
              <w:rPr>
                <w:color w:val="auto"/>
                <w:highlight w:val="none"/>
              </w:rPr>
              <w:t>Is=8%</w:t>
            </w:r>
          </w:p>
        </w:tc>
        <w:tc>
          <w:tcPr>
            <w:tcW w:w="1843" w:type="dxa"/>
            <w:vAlign w:val="center"/>
          </w:tcPr>
          <w:p>
            <w:pPr>
              <w:spacing w:line="240" w:lineRule="auto"/>
              <w:ind w:firstLine="0" w:firstLineChars="0"/>
              <w:jc w:val="center"/>
              <w:rPr>
                <w:color w:val="auto"/>
                <w:highlight w:val="none"/>
              </w:rPr>
            </w:pPr>
            <w:r>
              <w:rPr>
                <w:rFonts w:hint="eastAsia"/>
                <w:color w:val="auto"/>
                <w:highlight w:val="none"/>
                <w:lang w:val="en-US" w:eastAsia="zh-CN"/>
              </w:rPr>
              <w:t>1</w:t>
            </w:r>
            <w:r>
              <w:rPr>
                <w:color w:val="auto"/>
                <w:highlight w:val="none"/>
              </w:rPr>
              <w:t xml:space="preserve">81.94 </w:t>
            </w:r>
          </w:p>
        </w:tc>
        <w:tc>
          <w:tcPr>
            <w:tcW w:w="1979" w:type="dxa"/>
            <w:vAlign w:val="center"/>
          </w:tcPr>
          <w:p>
            <w:pPr>
              <w:spacing w:line="240" w:lineRule="auto"/>
              <w:ind w:firstLine="0" w:firstLineChars="0"/>
              <w:jc w:val="center"/>
              <w:rPr>
                <w:color w:val="auto"/>
                <w:highlight w:val="none"/>
              </w:rPr>
            </w:pPr>
            <w:r>
              <w:rPr>
                <w:color w:val="auto"/>
                <w:highlight w:val="none"/>
              </w:rPr>
              <w:t xml:space="preserve">1.10 </w:t>
            </w:r>
          </w:p>
        </w:tc>
        <w:tc>
          <w:tcPr>
            <w:tcW w:w="1990" w:type="dxa"/>
            <w:vAlign w:val="center"/>
          </w:tcPr>
          <w:p>
            <w:pPr>
              <w:spacing w:line="240" w:lineRule="auto"/>
              <w:ind w:firstLine="0" w:firstLineChars="0"/>
              <w:jc w:val="center"/>
              <w:rPr>
                <w:color w:val="auto"/>
                <w:highlight w:val="none"/>
              </w:rPr>
            </w:pPr>
            <w:r>
              <w:rPr>
                <w:color w:val="auto"/>
                <w:highlight w:val="none"/>
              </w:rPr>
              <w:t xml:space="preserve">8.92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1696" w:type="dxa"/>
            <w:vAlign w:val="center"/>
          </w:tcPr>
          <w:p>
            <w:pPr>
              <w:widowControl/>
              <w:spacing w:line="276" w:lineRule="auto"/>
              <w:ind w:firstLine="0" w:firstLineChars="0"/>
              <w:jc w:val="center"/>
              <w:rPr>
                <w:color w:val="auto"/>
                <w:highlight w:val="none"/>
              </w:rPr>
            </w:pPr>
            <w:r>
              <w:rPr>
                <w:color w:val="auto"/>
                <w:highlight w:val="none"/>
              </w:rPr>
              <w:t>投资减少10%</w:t>
            </w:r>
          </w:p>
        </w:tc>
        <w:tc>
          <w:tcPr>
            <w:tcW w:w="998" w:type="dxa"/>
            <w:vAlign w:val="center"/>
          </w:tcPr>
          <w:p>
            <w:pPr>
              <w:widowControl/>
              <w:spacing w:line="276" w:lineRule="auto"/>
              <w:ind w:firstLine="0" w:firstLineChars="0"/>
              <w:jc w:val="center"/>
              <w:rPr>
                <w:color w:val="auto"/>
                <w:highlight w:val="none"/>
              </w:rPr>
            </w:pPr>
            <w:r>
              <w:rPr>
                <w:color w:val="auto"/>
                <w:highlight w:val="none"/>
              </w:rPr>
              <w:t>Is=8%</w:t>
            </w:r>
          </w:p>
        </w:tc>
        <w:tc>
          <w:tcPr>
            <w:tcW w:w="1843" w:type="dxa"/>
            <w:vAlign w:val="center"/>
          </w:tcPr>
          <w:p>
            <w:pPr>
              <w:spacing w:line="240" w:lineRule="auto"/>
              <w:ind w:firstLine="0" w:firstLineChars="0"/>
              <w:jc w:val="center"/>
              <w:rPr>
                <w:color w:val="auto"/>
                <w:highlight w:val="none"/>
              </w:rPr>
            </w:pPr>
            <w:r>
              <w:rPr>
                <w:rFonts w:hint="eastAsia"/>
                <w:color w:val="auto"/>
                <w:highlight w:val="none"/>
                <w:lang w:val="en-US" w:eastAsia="zh-CN"/>
              </w:rPr>
              <w:t>6</w:t>
            </w:r>
            <w:r>
              <w:rPr>
                <w:color w:val="auto"/>
                <w:highlight w:val="none"/>
              </w:rPr>
              <w:t xml:space="preserve">18.29 </w:t>
            </w:r>
          </w:p>
        </w:tc>
        <w:tc>
          <w:tcPr>
            <w:tcW w:w="1979" w:type="dxa"/>
            <w:vAlign w:val="center"/>
          </w:tcPr>
          <w:p>
            <w:pPr>
              <w:spacing w:line="240" w:lineRule="auto"/>
              <w:ind w:firstLine="0" w:firstLineChars="0"/>
              <w:jc w:val="center"/>
              <w:rPr>
                <w:color w:val="auto"/>
                <w:highlight w:val="none"/>
              </w:rPr>
            </w:pPr>
            <w:r>
              <w:rPr>
                <w:color w:val="auto"/>
                <w:highlight w:val="none"/>
              </w:rPr>
              <w:t xml:space="preserve">1.34 </w:t>
            </w:r>
          </w:p>
        </w:tc>
        <w:tc>
          <w:tcPr>
            <w:tcW w:w="1990" w:type="dxa"/>
            <w:vAlign w:val="center"/>
          </w:tcPr>
          <w:p>
            <w:pPr>
              <w:spacing w:line="240" w:lineRule="auto"/>
              <w:ind w:firstLine="0" w:firstLineChars="0"/>
              <w:jc w:val="center"/>
              <w:rPr>
                <w:color w:val="auto"/>
                <w:highlight w:val="none"/>
              </w:rPr>
            </w:pPr>
            <w:r>
              <w:rPr>
                <w:color w:val="auto"/>
                <w:highlight w:val="none"/>
              </w:rPr>
              <w:t xml:space="preserve">11.11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1696" w:type="dxa"/>
            <w:vAlign w:val="center"/>
          </w:tcPr>
          <w:p>
            <w:pPr>
              <w:widowControl/>
              <w:spacing w:line="276" w:lineRule="auto"/>
              <w:ind w:firstLine="0" w:firstLineChars="0"/>
              <w:jc w:val="center"/>
              <w:rPr>
                <w:color w:val="auto"/>
                <w:highlight w:val="none"/>
              </w:rPr>
            </w:pPr>
            <w:r>
              <w:rPr>
                <w:color w:val="auto"/>
                <w:highlight w:val="none"/>
              </w:rPr>
              <w:t>效益增加10%</w:t>
            </w:r>
          </w:p>
        </w:tc>
        <w:tc>
          <w:tcPr>
            <w:tcW w:w="998" w:type="dxa"/>
            <w:vAlign w:val="center"/>
          </w:tcPr>
          <w:p>
            <w:pPr>
              <w:widowControl/>
              <w:spacing w:line="276" w:lineRule="auto"/>
              <w:ind w:firstLine="0" w:firstLineChars="0"/>
              <w:jc w:val="center"/>
              <w:rPr>
                <w:color w:val="auto"/>
                <w:highlight w:val="none"/>
              </w:rPr>
            </w:pPr>
            <w:r>
              <w:rPr>
                <w:color w:val="auto"/>
                <w:highlight w:val="none"/>
              </w:rPr>
              <w:t>Is=8%</w:t>
            </w:r>
          </w:p>
        </w:tc>
        <w:tc>
          <w:tcPr>
            <w:tcW w:w="1843" w:type="dxa"/>
            <w:vAlign w:val="center"/>
          </w:tcPr>
          <w:p>
            <w:pPr>
              <w:spacing w:line="240" w:lineRule="auto"/>
              <w:ind w:firstLine="0" w:firstLineChars="0"/>
              <w:jc w:val="center"/>
              <w:rPr>
                <w:color w:val="auto"/>
                <w:highlight w:val="none"/>
              </w:rPr>
            </w:pPr>
            <w:r>
              <w:rPr>
                <w:rFonts w:hint="eastAsia"/>
                <w:color w:val="auto"/>
                <w:highlight w:val="none"/>
                <w:lang w:val="en-US" w:eastAsia="zh-CN"/>
              </w:rPr>
              <w:t>6</w:t>
            </w:r>
            <w:r>
              <w:rPr>
                <w:color w:val="auto"/>
                <w:highlight w:val="none"/>
              </w:rPr>
              <w:t xml:space="preserve">73.30 </w:t>
            </w:r>
          </w:p>
        </w:tc>
        <w:tc>
          <w:tcPr>
            <w:tcW w:w="1979" w:type="dxa"/>
            <w:vAlign w:val="center"/>
          </w:tcPr>
          <w:p>
            <w:pPr>
              <w:spacing w:line="240" w:lineRule="auto"/>
              <w:ind w:firstLine="0" w:firstLineChars="0"/>
              <w:jc w:val="center"/>
              <w:rPr>
                <w:color w:val="auto"/>
                <w:highlight w:val="none"/>
              </w:rPr>
            </w:pPr>
            <w:r>
              <w:rPr>
                <w:color w:val="auto"/>
                <w:highlight w:val="none"/>
              </w:rPr>
              <w:t xml:space="preserve">1.33 </w:t>
            </w:r>
          </w:p>
        </w:tc>
        <w:tc>
          <w:tcPr>
            <w:tcW w:w="1990" w:type="dxa"/>
            <w:vAlign w:val="center"/>
          </w:tcPr>
          <w:p>
            <w:pPr>
              <w:spacing w:line="240" w:lineRule="auto"/>
              <w:ind w:firstLine="0" w:firstLineChars="0"/>
              <w:jc w:val="center"/>
              <w:rPr>
                <w:color w:val="auto"/>
                <w:highlight w:val="none"/>
              </w:rPr>
            </w:pPr>
            <w:r>
              <w:rPr>
                <w:color w:val="auto"/>
                <w:highlight w:val="none"/>
              </w:rPr>
              <w:t xml:space="preserve">10.99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1696" w:type="dxa"/>
            <w:vAlign w:val="center"/>
          </w:tcPr>
          <w:p>
            <w:pPr>
              <w:widowControl/>
              <w:spacing w:line="276" w:lineRule="auto"/>
              <w:ind w:firstLine="0" w:firstLineChars="0"/>
              <w:jc w:val="center"/>
              <w:rPr>
                <w:color w:val="auto"/>
                <w:highlight w:val="none"/>
              </w:rPr>
            </w:pPr>
            <w:r>
              <w:rPr>
                <w:color w:val="auto"/>
                <w:highlight w:val="none"/>
              </w:rPr>
              <w:t>效益减少10%</w:t>
            </w:r>
          </w:p>
        </w:tc>
        <w:tc>
          <w:tcPr>
            <w:tcW w:w="998" w:type="dxa"/>
            <w:vAlign w:val="center"/>
          </w:tcPr>
          <w:p>
            <w:pPr>
              <w:widowControl/>
              <w:spacing w:line="276" w:lineRule="auto"/>
              <w:ind w:firstLine="0" w:firstLineChars="0"/>
              <w:jc w:val="center"/>
              <w:rPr>
                <w:color w:val="auto"/>
                <w:highlight w:val="none"/>
              </w:rPr>
            </w:pPr>
            <w:r>
              <w:rPr>
                <w:color w:val="auto"/>
                <w:highlight w:val="none"/>
              </w:rPr>
              <w:t>Is=8%</w:t>
            </w:r>
          </w:p>
        </w:tc>
        <w:tc>
          <w:tcPr>
            <w:tcW w:w="1843" w:type="dxa"/>
            <w:vAlign w:val="center"/>
          </w:tcPr>
          <w:p>
            <w:pPr>
              <w:spacing w:line="240" w:lineRule="auto"/>
              <w:ind w:firstLine="0" w:firstLineChars="0"/>
              <w:jc w:val="center"/>
              <w:rPr>
                <w:color w:val="auto"/>
                <w:highlight w:val="none"/>
              </w:rPr>
            </w:pPr>
            <w:r>
              <w:rPr>
                <w:rFonts w:hint="eastAsia"/>
                <w:color w:val="auto"/>
                <w:highlight w:val="none"/>
                <w:lang w:val="en-US" w:eastAsia="zh-CN"/>
              </w:rPr>
              <w:t>1</w:t>
            </w:r>
            <w:r>
              <w:rPr>
                <w:color w:val="auto"/>
                <w:highlight w:val="none"/>
              </w:rPr>
              <w:t xml:space="preserve">26.93 </w:t>
            </w:r>
          </w:p>
        </w:tc>
        <w:tc>
          <w:tcPr>
            <w:tcW w:w="1979" w:type="dxa"/>
            <w:vAlign w:val="center"/>
          </w:tcPr>
          <w:p>
            <w:pPr>
              <w:spacing w:line="240" w:lineRule="auto"/>
              <w:ind w:firstLine="0" w:firstLineChars="0"/>
              <w:jc w:val="center"/>
              <w:rPr>
                <w:color w:val="auto"/>
                <w:highlight w:val="none"/>
              </w:rPr>
            </w:pPr>
            <w:r>
              <w:rPr>
                <w:color w:val="auto"/>
                <w:highlight w:val="none"/>
              </w:rPr>
              <w:t xml:space="preserve">1.08 </w:t>
            </w:r>
          </w:p>
        </w:tc>
        <w:tc>
          <w:tcPr>
            <w:tcW w:w="1990" w:type="dxa"/>
            <w:vAlign w:val="center"/>
          </w:tcPr>
          <w:p>
            <w:pPr>
              <w:spacing w:line="240" w:lineRule="auto"/>
              <w:ind w:firstLine="0" w:firstLineChars="0"/>
              <w:jc w:val="center"/>
              <w:rPr>
                <w:color w:val="auto"/>
                <w:highlight w:val="none"/>
              </w:rPr>
            </w:pPr>
            <w:r>
              <w:rPr>
                <w:color w:val="auto"/>
                <w:highlight w:val="none"/>
              </w:rPr>
              <w:t xml:space="preserve">8.81 </w:t>
            </w:r>
          </w:p>
        </w:tc>
      </w:tr>
    </w:tbl>
    <w:p>
      <w:pPr>
        <w:ind w:firstLine="480"/>
        <w:rPr>
          <w:color w:val="auto"/>
          <w:highlight w:val="none"/>
        </w:rPr>
      </w:pPr>
      <w:r>
        <w:rPr>
          <w:rFonts w:hint="eastAsia"/>
          <w:color w:val="auto"/>
          <w:highlight w:val="none"/>
        </w:rPr>
        <w:t>通过敏感性分析，当工程受不利因素影响时，效益指标将有所下降，当投资增加和效益减少时工程有一定风险，但风险相对较小。社会折现率Is为8%，当投资增加或减少10%和效益增加或减少10%时，经济指标依然良好，说明本工程有较强的抗风险能力，工程建设经济合理、可行。</w:t>
      </w:r>
    </w:p>
    <w:p>
      <w:pPr>
        <w:pStyle w:val="3"/>
        <w:rPr>
          <w:color w:val="auto"/>
          <w:highlight w:val="none"/>
        </w:rPr>
      </w:pPr>
      <w:bookmarkStart w:id="772" w:name="_Toc536295289"/>
      <w:bookmarkStart w:id="773" w:name="_Toc345571944"/>
      <w:bookmarkStart w:id="774" w:name="_Toc513816980"/>
      <w:bookmarkStart w:id="775" w:name="_Toc22020"/>
      <w:bookmarkStart w:id="776" w:name="_Toc141754102"/>
      <w:bookmarkStart w:id="777" w:name="_Toc82222960"/>
      <w:bookmarkStart w:id="778" w:name="_Toc103567307"/>
      <w:bookmarkStart w:id="779" w:name="_Toc83438454"/>
      <w:bookmarkStart w:id="780" w:name="_Toc118536223"/>
      <w:bookmarkStart w:id="781" w:name="_Toc103674980"/>
      <w:bookmarkStart w:id="782" w:name="_Toc117933752"/>
      <w:bookmarkStart w:id="783" w:name="_Toc102469471"/>
      <w:bookmarkStart w:id="784" w:name="_Toc82410970"/>
      <w:bookmarkStart w:id="785" w:name="_Toc103587556"/>
      <w:bookmarkStart w:id="786" w:name="_Toc86054796"/>
      <w:bookmarkStart w:id="787" w:name="_Toc82223144"/>
      <w:bookmarkStart w:id="788" w:name="_Toc105474183"/>
      <w:bookmarkStart w:id="789" w:name="_Toc81792241"/>
      <w:bookmarkStart w:id="790" w:name="_Toc82484327"/>
      <w:bookmarkStart w:id="791" w:name="_Toc103852796"/>
      <w:bookmarkStart w:id="792" w:name="_Toc118618029"/>
      <w:bookmarkStart w:id="793" w:name="_Toc86056710"/>
      <w:bookmarkStart w:id="794" w:name="_Toc82483859"/>
      <w:bookmarkStart w:id="795" w:name="_Toc119981409"/>
      <w:bookmarkStart w:id="796" w:name="_Toc78254915"/>
      <w:bookmarkStart w:id="797" w:name="_Toc86056273"/>
      <w:bookmarkStart w:id="798" w:name="_Toc118866772"/>
      <w:bookmarkStart w:id="799" w:name="_Toc78254611"/>
      <w:bookmarkStart w:id="800" w:name="_Toc78255454"/>
      <w:bookmarkStart w:id="801" w:name="_Toc83091098"/>
      <w:bookmarkStart w:id="802" w:name="_Toc81188395"/>
      <w:bookmarkStart w:id="803" w:name="_Toc83432356"/>
      <w:r>
        <w:rPr>
          <w:rFonts w:hint="eastAsia"/>
          <w:color w:val="auto"/>
          <w:highlight w:val="none"/>
          <w:lang w:val="en-US" w:eastAsia="zh-CN"/>
        </w:rPr>
        <w:t>15</w:t>
      </w:r>
      <w:r>
        <w:rPr>
          <w:rFonts w:hint="eastAsia"/>
          <w:color w:val="auto"/>
          <w:highlight w:val="none"/>
        </w:rPr>
        <w:t>.</w:t>
      </w:r>
      <w:r>
        <w:rPr>
          <w:color w:val="auto"/>
          <w:highlight w:val="none"/>
        </w:rPr>
        <w:t>4</w:t>
      </w:r>
      <w:r>
        <w:rPr>
          <w:rFonts w:hint="eastAsia"/>
          <w:color w:val="auto"/>
          <w:highlight w:val="none"/>
        </w:rPr>
        <w:t xml:space="preserve"> 综合评价</w:t>
      </w:r>
      <w:bookmarkEnd w:id="772"/>
      <w:bookmarkEnd w:id="773"/>
      <w:bookmarkEnd w:id="774"/>
      <w:bookmarkEnd w:id="775"/>
    </w:p>
    <w:p>
      <w:pPr>
        <w:pStyle w:val="335"/>
        <w:spacing w:before="156" w:after="156"/>
        <w:rPr>
          <w:color w:val="auto"/>
          <w:highlight w:val="none"/>
        </w:rPr>
      </w:pPr>
      <w:bookmarkStart w:id="804" w:name="_Toc345571945"/>
      <w:bookmarkStart w:id="805" w:name="_Toc536295290"/>
      <w:r>
        <w:rPr>
          <w:rFonts w:hint="eastAsia"/>
          <w:color w:val="auto"/>
          <w:highlight w:val="none"/>
          <w:lang w:val="en-US" w:eastAsia="zh-CN"/>
        </w:rPr>
        <w:t>15</w:t>
      </w:r>
      <w:r>
        <w:rPr>
          <w:rFonts w:hint="eastAsia"/>
          <w:color w:val="auto"/>
          <w:highlight w:val="none"/>
        </w:rPr>
        <w:t>.</w:t>
      </w:r>
      <w:r>
        <w:rPr>
          <w:color w:val="auto"/>
          <w:highlight w:val="none"/>
        </w:rPr>
        <w:t>4</w:t>
      </w:r>
      <w:r>
        <w:rPr>
          <w:rFonts w:hint="eastAsia"/>
          <w:color w:val="auto"/>
          <w:highlight w:val="none"/>
        </w:rPr>
        <w:t>.1 生态效益分析</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pPr>
        <w:ind w:firstLine="480"/>
        <w:rPr>
          <w:color w:val="auto"/>
          <w:highlight w:val="none"/>
        </w:rPr>
      </w:pPr>
      <w:r>
        <w:rPr>
          <w:rFonts w:hint="eastAsia"/>
          <w:color w:val="auto"/>
          <w:highlight w:val="none"/>
        </w:rPr>
        <w:t>生态效益就是从改善人体生理健康的角度服务于人类。本工程的兴建大大改善了工程区的生态环境，通过生态环境的改善使人们放松心情，感受变化，娱乐身心，满足生活健康的自然需求，从而服务于工程区人民。</w:t>
      </w:r>
    </w:p>
    <w:p>
      <w:pPr>
        <w:ind w:firstLine="480"/>
        <w:rPr>
          <w:color w:val="auto"/>
          <w:highlight w:val="none"/>
        </w:rPr>
      </w:pPr>
      <w:r>
        <w:rPr>
          <w:rFonts w:hint="eastAsia"/>
          <w:color w:val="auto"/>
          <w:highlight w:val="none"/>
          <w:lang w:eastAsia="zh-CN"/>
        </w:rPr>
        <w:t>从化区温泉镇南大水库灌区(桃莲段)改造工程</w:t>
      </w:r>
      <w:r>
        <w:rPr>
          <w:rFonts w:hint="eastAsia"/>
          <w:color w:val="auto"/>
          <w:highlight w:val="none"/>
        </w:rPr>
        <w:t>的兴建，不仅可提高区域内排洪及灌溉能力，同时可以将渠道的设计标准提高到10年一遇，而且可改变工程区的自然环境、生态环境。工程修建后通过绿化及美化设计，可成为工程区一道亮丽的风景线。绿色植物还可通过光合作用，吸收大量的二氧化碳、释放氧气、净化空气、美化环境。综上所述，本工程的实施，其生态效益是很显著的。</w:t>
      </w:r>
    </w:p>
    <w:p>
      <w:pPr>
        <w:pStyle w:val="335"/>
        <w:spacing w:before="156" w:after="156"/>
        <w:rPr>
          <w:color w:val="auto"/>
          <w:highlight w:val="none"/>
        </w:rPr>
      </w:pPr>
      <w:bookmarkStart w:id="806" w:name="_Toc82484328"/>
      <w:bookmarkStart w:id="807" w:name="_Toc83091099"/>
      <w:bookmarkStart w:id="808" w:name="_Toc13646669"/>
      <w:bookmarkStart w:id="809" w:name="_Toc71949092"/>
      <w:bookmarkStart w:id="810" w:name="_Toc105474184"/>
      <w:bookmarkStart w:id="811" w:name="_Toc69639789"/>
      <w:bookmarkStart w:id="812" w:name="_Toc71949174"/>
      <w:bookmarkStart w:id="813" w:name="_Toc81792242"/>
      <w:bookmarkStart w:id="814" w:name="_Toc82223145"/>
      <w:bookmarkStart w:id="815" w:name="_Toc1043580"/>
      <w:bookmarkStart w:id="816" w:name="_Toc536295291"/>
      <w:bookmarkStart w:id="817" w:name="_Toc66844949"/>
      <w:bookmarkStart w:id="818" w:name="_Toc78254612"/>
      <w:bookmarkStart w:id="819" w:name="_Toc71692480"/>
      <w:bookmarkStart w:id="820" w:name="_Toc71949251"/>
      <w:bookmarkStart w:id="821" w:name="_Toc77478474"/>
      <w:bookmarkStart w:id="822" w:name="_Toc78255455"/>
      <w:bookmarkStart w:id="823" w:name="_Toc67828401"/>
      <w:bookmarkStart w:id="824" w:name="_Toc1063122"/>
      <w:bookmarkStart w:id="825" w:name="_Toc69641425"/>
      <w:bookmarkStart w:id="826" w:name="_Toc78254916"/>
      <w:bookmarkStart w:id="827" w:name="_Toc130059"/>
      <w:bookmarkStart w:id="828" w:name="_Toc575302"/>
      <w:bookmarkStart w:id="829" w:name="_Toc67828566"/>
      <w:bookmarkStart w:id="830" w:name="_Toc82483860"/>
      <w:bookmarkStart w:id="831" w:name="_Toc536850023"/>
      <w:bookmarkStart w:id="832" w:name="_Toc345571946"/>
      <w:bookmarkStart w:id="833" w:name="_Toc81188396"/>
      <w:bookmarkStart w:id="834" w:name="_Toc13643227"/>
      <w:bookmarkStart w:id="835" w:name="_Toc77478657"/>
      <w:bookmarkStart w:id="836" w:name="_Toc13992832"/>
      <w:bookmarkStart w:id="837" w:name="_Toc66789444"/>
      <w:bookmarkStart w:id="838" w:name="_Toc14254911"/>
      <w:bookmarkStart w:id="839" w:name="_Toc82222961"/>
      <w:bookmarkStart w:id="840" w:name="_Toc539654"/>
      <w:bookmarkStart w:id="841" w:name="_Toc945272"/>
      <w:bookmarkStart w:id="842" w:name="_Toc536849733"/>
      <w:bookmarkStart w:id="843" w:name="_Toc118866773"/>
      <w:bookmarkStart w:id="844" w:name="_Toc1063193"/>
      <w:bookmarkStart w:id="845" w:name="_Toc132323"/>
      <w:bookmarkStart w:id="846" w:name="_Toc535939432"/>
      <w:bookmarkStart w:id="847" w:name="_Toc14258951"/>
      <w:bookmarkStart w:id="848" w:name="_Toc17262791"/>
      <w:bookmarkStart w:id="849" w:name="_Toc82410971"/>
      <w:bookmarkStart w:id="850" w:name="_Toc103587557"/>
      <w:bookmarkStart w:id="851" w:name="_Toc536848878"/>
      <w:bookmarkStart w:id="852" w:name="_Toc141754103"/>
      <w:bookmarkStart w:id="853" w:name="_Toc86056274"/>
      <w:bookmarkStart w:id="854" w:name="_Toc1114894"/>
      <w:bookmarkStart w:id="855" w:name="_Toc117933753"/>
      <w:bookmarkStart w:id="856" w:name="_Toc119981410"/>
      <w:bookmarkStart w:id="857" w:name="_Toc945388"/>
      <w:bookmarkStart w:id="858" w:name="_Toc536817933"/>
      <w:bookmarkStart w:id="859" w:name="_Toc66788371"/>
      <w:bookmarkStart w:id="860" w:name="_Toc86056711"/>
      <w:bookmarkStart w:id="861" w:name="_Toc535939128"/>
      <w:bookmarkStart w:id="862" w:name="_Toc127942"/>
      <w:bookmarkStart w:id="863" w:name="_Toc71947487"/>
      <w:bookmarkStart w:id="864" w:name="_Toc103852797"/>
      <w:bookmarkStart w:id="865" w:name="_Toc535939199"/>
      <w:bookmarkStart w:id="866" w:name="_Toc118618030"/>
      <w:bookmarkStart w:id="867" w:name="_Toc118536224"/>
      <w:bookmarkStart w:id="868" w:name="_Toc540267"/>
      <w:bookmarkStart w:id="869" w:name="_Toc77473155"/>
      <w:bookmarkStart w:id="870" w:name="_Toc535939628"/>
      <w:bookmarkStart w:id="871" w:name="_Toc103567308"/>
      <w:bookmarkStart w:id="872" w:name="_Toc540167"/>
      <w:bookmarkStart w:id="873" w:name="_Toc535939276"/>
      <w:bookmarkStart w:id="874" w:name="_Toc15292110"/>
      <w:bookmarkStart w:id="875" w:name="_Toc86054797"/>
      <w:bookmarkStart w:id="876" w:name="_Toc66789374"/>
      <w:bookmarkStart w:id="877" w:name="_Toc17539923"/>
      <w:bookmarkStart w:id="878" w:name="_Toc15286536"/>
      <w:bookmarkStart w:id="879" w:name="_Toc66788285"/>
      <w:bookmarkStart w:id="880" w:name="_Toc102469472"/>
      <w:bookmarkStart w:id="881" w:name="_Toc526517527"/>
      <w:bookmarkStart w:id="882" w:name="_Toc66788843"/>
      <w:bookmarkStart w:id="883" w:name="_Toc15283123"/>
      <w:bookmarkStart w:id="884" w:name="_Toc83438455"/>
      <w:bookmarkStart w:id="885" w:name="_Toc17176152"/>
      <w:bookmarkStart w:id="886" w:name="_Toc103674981"/>
      <w:bookmarkStart w:id="887" w:name="_Toc15292869"/>
      <w:bookmarkStart w:id="888" w:name="_Toc83432357"/>
      <w:bookmarkStart w:id="889" w:name="_Toc44741"/>
      <w:bookmarkStart w:id="890" w:name="_Toc66789068"/>
      <w:bookmarkStart w:id="891" w:name="_Toc66788621"/>
      <w:bookmarkStart w:id="892" w:name="_Toc535939723"/>
      <w:r>
        <w:rPr>
          <w:rFonts w:hint="eastAsia"/>
          <w:color w:val="auto"/>
          <w:highlight w:val="none"/>
          <w:lang w:val="en-US" w:eastAsia="zh-CN"/>
        </w:rPr>
        <w:t>15</w:t>
      </w:r>
      <w:r>
        <w:rPr>
          <w:rFonts w:hint="eastAsia"/>
          <w:color w:val="auto"/>
          <w:highlight w:val="none"/>
        </w:rPr>
        <w:t>.</w:t>
      </w:r>
      <w:r>
        <w:rPr>
          <w:color w:val="auto"/>
          <w:highlight w:val="none"/>
        </w:rPr>
        <w:t>4</w:t>
      </w:r>
      <w:r>
        <w:rPr>
          <w:rFonts w:hint="eastAsia"/>
          <w:color w:val="auto"/>
          <w:highlight w:val="none"/>
        </w:rPr>
        <w:t>.2 社会效益分析</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pPr>
        <w:ind w:firstLine="480"/>
        <w:rPr>
          <w:color w:val="auto"/>
          <w:highlight w:val="none"/>
        </w:rPr>
      </w:pPr>
      <w:r>
        <w:rPr>
          <w:rFonts w:hint="eastAsia"/>
          <w:color w:val="auto"/>
          <w:highlight w:val="none"/>
          <w:lang w:eastAsia="zh-CN"/>
        </w:rPr>
        <w:t>从化区温泉镇南大水库灌区(桃莲段)改造工程</w:t>
      </w:r>
      <w:r>
        <w:rPr>
          <w:rFonts w:hint="eastAsia"/>
          <w:color w:val="auto"/>
          <w:highlight w:val="none"/>
        </w:rPr>
        <w:t>实施后，具有很广泛的社会效益。社会效益是一种间接效益。工程建成后，可以改变渠道设计标准低、断面不规则、淤泥严重、渠系水利用系数低的现况，消除周围群众因此而造成的消极情绪，代之以积极向上、安居乐业、欣欣向荣的精神风貌，促进当地的安定团结，保障从化区经济的发展，深得当地群众的拥护和支持。</w:t>
      </w:r>
    </w:p>
    <w:p>
      <w:pPr>
        <w:pStyle w:val="335"/>
        <w:spacing w:before="156" w:after="156"/>
        <w:rPr>
          <w:color w:val="auto"/>
          <w:highlight w:val="none"/>
        </w:rPr>
      </w:pPr>
      <w:bookmarkStart w:id="893" w:name="_Toc141754104"/>
      <w:bookmarkStart w:id="894" w:name="_Toc345571947"/>
      <w:bookmarkStart w:id="895" w:name="_Toc536295292"/>
      <w:r>
        <w:rPr>
          <w:rFonts w:hint="eastAsia"/>
          <w:color w:val="auto"/>
          <w:highlight w:val="none"/>
          <w:lang w:val="en-US" w:eastAsia="zh-CN"/>
        </w:rPr>
        <w:t>15</w:t>
      </w:r>
      <w:r>
        <w:rPr>
          <w:rFonts w:hint="eastAsia"/>
          <w:color w:val="auto"/>
          <w:highlight w:val="none"/>
        </w:rPr>
        <w:t>.</w:t>
      </w:r>
      <w:r>
        <w:rPr>
          <w:color w:val="auto"/>
          <w:highlight w:val="none"/>
        </w:rPr>
        <w:t>4</w:t>
      </w:r>
      <w:r>
        <w:rPr>
          <w:rFonts w:hint="eastAsia"/>
          <w:color w:val="auto"/>
          <w:highlight w:val="none"/>
        </w:rPr>
        <w:t xml:space="preserve">.3 </w:t>
      </w:r>
      <w:bookmarkEnd w:id="764"/>
      <w:bookmarkEnd w:id="765"/>
      <w:r>
        <w:rPr>
          <w:rFonts w:hint="eastAsia"/>
          <w:color w:val="auto"/>
          <w:highlight w:val="none"/>
        </w:rPr>
        <w:t>结论和建议</w:t>
      </w:r>
      <w:bookmarkEnd w:id="766"/>
      <w:bookmarkEnd w:id="767"/>
      <w:bookmarkEnd w:id="768"/>
      <w:bookmarkEnd w:id="769"/>
      <w:bookmarkEnd w:id="770"/>
      <w:bookmarkEnd w:id="893"/>
      <w:bookmarkEnd w:id="894"/>
      <w:bookmarkEnd w:id="895"/>
    </w:p>
    <w:p>
      <w:pPr>
        <w:ind w:firstLine="480"/>
        <w:rPr>
          <w:color w:val="auto"/>
          <w:highlight w:val="none"/>
        </w:rPr>
      </w:pPr>
      <w:r>
        <w:rPr>
          <w:rFonts w:hint="eastAsia"/>
          <w:color w:val="auto"/>
          <w:highlight w:val="none"/>
        </w:rPr>
        <w:t>结论：通过以上国民经济评价、财务分析、生态效益分析、社会效益分析，认为本工程实施后，具有较好的排洪、灌溉效益，可以极大地改善区域内排洪能力及灌溉条件，同时具有显著的生态效益和社会效益。</w:t>
      </w:r>
    </w:p>
    <w:p>
      <w:pPr>
        <w:ind w:firstLine="480"/>
        <w:rPr>
          <w:color w:val="auto"/>
          <w:highlight w:val="none"/>
        </w:rPr>
      </w:pPr>
      <w:r>
        <w:rPr>
          <w:rFonts w:hint="eastAsia"/>
          <w:color w:val="auto"/>
          <w:highlight w:val="none"/>
        </w:rPr>
        <w:t>建议：（</w:t>
      </w:r>
      <w:r>
        <w:rPr>
          <w:color w:val="auto"/>
          <w:highlight w:val="none"/>
        </w:rPr>
        <w:t>1</w:t>
      </w:r>
      <w:r>
        <w:rPr>
          <w:rFonts w:hint="eastAsia"/>
          <w:color w:val="auto"/>
          <w:highlight w:val="none"/>
        </w:rPr>
        <w:t>）工程技术上可行，效益显著，建议尽快立项实施；（</w:t>
      </w:r>
      <w:r>
        <w:rPr>
          <w:color w:val="auto"/>
          <w:highlight w:val="none"/>
        </w:rPr>
        <w:t>2</w:t>
      </w:r>
      <w:r>
        <w:rPr>
          <w:rFonts w:hint="eastAsia"/>
          <w:color w:val="auto"/>
          <w:highlight w:val="none"/>
        </w:rPr>
        <w:t>）施工时，建设单位应采用公开招标、投标的办法，选择具有相应的施工等级，技术力量过硬的施工单位承建，严格遵守质量规范，保证工程尽快发挥效益。</w:t>
      </w:r>
      <w:bookmarkStart w:id="896" w:name="_Toc513816986"/>
      <w:bookmarkStart w:id="897" w:name="_Toc495674338"/>
      <w:bookmarkStart w:id="898" w:name="_Toc536295293"/>
    </w:p>
    <w:p>
      <w:pPr>
        <w:ind w:firstLine="480"/>
        <w:rPr>
          <w:color w:val="auto"/>
          <w:highlight w:val="none"/>
        </w:rPr>
        <w:sectPr>
          <w:pgSz w:w="11906" w:h="16838"/>
          <w:pgMar w:top="1418" w:right="1644" w:bottom="1418" w:left="1701" w:header="851" w:footer="992" w:gutter="0"/>
          <w:pgBorders>
            <w:top w:val="none" w:sz="0" w:space="0"/>
            <w:left w:val="none" w:sz="0" w:space="0"/>
            <w:bottom w:val="none" w:sz="0" w:space="0"/>
            <w:right w:val="none" w:sz="0" w:space="0"/>
          </w:pgBorders>
          <w:pgNumType w:fmt="decimal"/>
          <w:cols w:space="720" w:num="1"/>
          <w:docGrid w:type="lines" w:linePitch="312" w:charSpace="0"/>
        </w:sectPr>
      </w:pPr>
    </w:p>
    <w:p>
      <w:pPr>
        <w:pStyle w:val="2"/>
        <w:keepNext w:val="0"/>
        <w:keepLines w:val="0"/>
        <w:pageBreakBefore/>
        <w:spacing w:before="156" w:beforeLines="50" w:after="156" w:afterLines="50" w:line="360" w:lineRule="auto"/>
        <w:ind w:firstLine="640"/>
        <w:rPr>
          <w:b/>
          <w:color w:val="auto"/>
          <w:szCs w:val="32"/>
          <w:highlight w:val="none"/>
        </w:rPr>
      </w:pPr>
      <w:bookmarkStart w:id="899" w:name="_Toc15980"/>
      <w:r>
        <w:rPr>
          <w:rFonts w:hint="eastAsia"/>
          <w:color w:val="auto"/>
          <w:szCs w:val="32"/>
          <w:highlight w:val="none"/>
          <w:lang w:val="en-US" w:eastAsia="zh-CN"/>
        </w:rPr>
        <w:t>16</w:t>
      </w:r>
      <w:r>
        <w:rPr>
          <w:rFonts w:hint="eastAsia"/>
          <w:color w:val="auto"/>
          <w:szCs w:val="32"/>
          <w:highlight w:val="none"/>
        </w:rPr>
        <w:t xml:space="preserve">  海绵城市建设</w:t>
      </w:r>
      <w:bookmarkEnd w:id="896"/>
      <w:bookmarkEnd w:id="897"/>
      <w:bookmarkEnd w:id="898"/>
      <w:bookmarkEnd w:id="899"/>
    </w:p>
    <w:p>
      <w:pPr>
        <w:pStyle w:val="3"/>
        <w:rPr>
          <w:color w:val="auto"/>
          <w:highlight w:val="none"/>
        </w:rPr>
      </w:pPr>
      <w:bookmarkStart w:id="900" w:name="_Toc513816987"/>
      <w:bookmarkStart w:id="901" w:name="_Toc536295294"/>
      <w:bookmarkStart w:id="902" w:name="_Toc495674339"/>
      <w:bookmarkStart w:id="903" w:name="_Toc17913"/>
      <w:r>
        <w:rPr>
          <w:rFonts w:hint="eastAsia"/>
          <w:color w:val="auto"/>
          <w:highlight w:val="none"/>
          <w:lang w:val="en-US" w:eastAsia="zh-CN"/>
        </w:rPr>
        <w:t>16</w:t>
      </w:r>
      <w:r>
        <w:rPr>
          <w:rFonts w:hint="eastAsia"/>
          <w:color w:val="auto"/>
          <w:highlight w:val="none"/>
        </w:rPr>
        <w:t xml:space="preserve">.1 </w:t>
      </w:r>
      <w:r>
        <w:rPr>
          <w:color w:val="auto"/>
          <w:highlight w:val="none"/>
        </w:rPr>
        <w:t>海绵城市概念</w:t>
      </w:r>
      <w:bookmarkEnd w:id="900"/>
      <w:bookmarkEnd w:id="901"/>
      <w:bookmarkEnd w:id="902"/>
      <w:bookmarkEnd w:id="903"/>
    </w:p>
    <w:p>
      <w:pPr>
        <w:ind w:firstLine="480"/>
        <w:rPr>
          <w:color w:val="auto"/>
          <w:highlight w:val="none"/>
        </w:rPr>
      </w:pPr>
      <w:r>
        <w:rPr>
          <w:color w:val="auto"/>
          <w:highlight w:val="none"/>
        </w:rPr>
        <w:t>2012年4月，在《2012低碳城市与区域发展科技论坛》中，“海绵城市”概念首次提出；2013年12月12日，习近平总书记在《中央城镇化工作会议》的讲话中强调：“提升城市排水系统时要优先考虑把有限的雨水留下来，优先考虑更多利用自然力量排水，建设自然存积、自然渗透、自然净化的海绵城市”。而《海绵城市建设技术指南--低影响开发雨水系统构建（试行）》以及仇保兴发表的《海绵城市(LID)的内涵、途径与展望》则对“海绵城市”的概念给出了明确的定义，即城市能够像海绵一样，在适应环境变化和应对自然灾害等方面具有良好的“弹性”，下雨时吸水、蓄水、渗水、净水，需要时将蓄存的水“释放”并加以利用。提升城市生态系统功能和减少城市洪涝灾害的发生。</w:t>
      </w:r>
    </w:p>
    <w:p>
      <w:pPr>
        <w:ind w:firstLine="480"/>
        <w:rPr>
          <w:color w:val="auto"/>
          <w:highlight w:val="none"/>
        </w:rPr>
      </w:pPr>
      <w:r>
        <w:rPr>
          <w:color w:val="auto"/>
          <w:highlight w:val="none"/>
        </w:rPr>
        <w:t>建海绵城市就要有“海绵体”。城市“海绵体”既包括河、湖、池塘等水系，也包括绿地、花园、可渗透路面这样的城市配套设施。雨水通过这些“海绵体”下渗、滞蓄、净化、回用，最后剩余部分径流通过管网、泵站外排，从而可有效提高城市排水系统的标准，缓减城市内涝的压力。</w:t>
      </w:r>
    </w:p>
    <w:p>
      <w:pPr>
        <w:pStyle w:val="3"/>
        <w:rPr>
          <w:color w:val="auto"/>
          <w:highlight w:val="none"/>
        </w:rPr>
      </w:pPr>
      <w:bookmarkStart w:id="904" w:name="_Toc495674340"/>
      <w:bookmarkStart w:id="905" w:name="_Toc536295295"/>
      <w:bookmarkStart w:id="906" w:name="_Toc513816988"/>
      <w:bookmarkStart w:id="907" w:name="_Toc18614"/>
      <w:r>
        <w:rPr>
          <w:rFonts w:hint="eastAsia"/>
          <w:color w:val="auto"/>
          <w:highlight w:val="none"/>
          <w:lang w:val="en-US" w:eastAsia="zh-CN"/>
        </w:rPr>
        <w:t>16</w:t>
      </w:r>
      <w:r>
        <w:rPr>
          <w:rFonts w:hint="eastAsia"/>
          <w:color w:val="auto"/>
          <w:highlight w:val="none"/>
        </w:rPr>
        <w:t xml:space="preserve">.2 </w:t>
      </w:r>
      <w:r>
        <w:rPr>
          <w:color w:val="auto"/>
          <w:highlight w:val="none"/>
        </w:rPr>
        <w:t>海绵城市建设原则</w:t>
      </w:r>
      <w:bookmarkEnd w:id="904"/>
      <w:bookmarkEnd w:id="905"/>
      <w:bookmarkEnd w:id="906"/>
      <w:bookmarkEnd w:id="907"/>
    </w:p>
    <w:p>
      <w:pPr>
        <w:ind w:firstLine="480"/>
        <w:rPr>
          <w:color w:val="auto"/>
          <w:highlight w:val="none"/>
        </w:rPr>
      </w:pPr>
      <w:r>
        <w:rPr>
          <w:color w:val="auto"/>
          <w:highlight w:val="none"/>
        </w:rPr>
        <w:t>建设海绵城市，首先要扭转观念。传统城市建设模式，处处是硬化路面。每逢大雨，主要依靠管渠、泵站等“灰色”设施来排水，以“快速排除”和“末端集中”控制为主要规划设计理念，往往造成逢雨必涝，旱涝急转。根据《海绵城市建设技术指南》，城市建设将强调优先利用植草沟、雨水花园、下沉式绿地等“绿色”措施来组织排水，以“慢排缓释”和“源头分散”控制为主要规划设计理念。</w:t>
      </w:r>
    </w:p>
    <w:p>
      <w:pPr>
        <w:ind w:firstLine="480"/>
        <w:rPr>
          <w:color w:val="auto"/>
          <w:highlight w:val="none"/>
        </w:rPr>
      </w:pPr>
      <w:r>
        <w:rPr>
          <w:color w:val="auto"/>
          <w:highlight w:val="none"/>
        </w:rPr>
        <w:t>海绵城市建设应遵循生态优先等原则，将自然途径与人工措施相结合，在确保城市排水防涝安全的前提下，最大限度地实现雨水在城市区域的积存、渗透和净化，促进雨水资源的利用和生态环境保护。在海绵城市建设过程中，应统筹自然降水、地表水和地下水的系统性，协调给水、排水等水循环利用各环节，并考虑其复杂性和长期性。</w:t>
      </w:r>
    </w:p>
    <w:p>
      <w:pPr>
        <w:pStyle w:val="3"/>
        <w:rPr>
          <w:color w:val="auto"/>
          <w:highlight w:val="none"/>
        </w:rPr>
      </w:pPr>
      <w:bookmarkStart w:id="908" w:name="_Toc536295296"/>
      <w:bookmarkStart w:id="909" w:name="_Toc513816989"/>
      <w:bookmarkStart w:id="910" w:name="_Toc495674341"/>
      <w:bookmarkStart w:id="911" w:name="_Toc8508"/>
      <w:r>
        <w:rPr>
          <w:rFonts w:hint="eastAsia"/>
          <w:color w:val="auto"/>
          <w:highlight w:val="none"/>
          <w:lang w:val="en-US" w:eastAsia="zh-CN"/>
        </w:rPr>
        <w:t>16</w:t>
      </w:r>
      <w:r>
        <w:rPr>
          <w:rFonts w:hint="eastAsia"/>
          <w:color w:val="auto"/>
          <w:highlight w:val="none"/>
        </w:rPr>
        <w:t xml:space="preserve">.3 </w:t>
      </w:r>
      <w:r>
        <w:rPr>
          <w:color w:val="auto"/>
          <w:highlight w:val="none"/>
        </w:rPr>
        <w:t>海绵城市—低影响开发雨水系统</w:t>
      </w:r>
      <w:bookmarkEnd w:id="908"/>
      <w:bookmarkEnd w:id="909"/>
      <w:bookmarkEnd w:id="910"/>
      <w:bookmarkEnd w:id="911"/>
    </w:p>
    <w:p>
      <w:pPr>
        <w:ind w:firstLine="480"/>
        <w:rPr>
          <w:color w:val="auto"/>
          <w:highlight w:val="none"/>
        </w:rPr>
      </w:pPr>
      <w:r>
        <w:rPr>
          <w:color w:val="auto"/>
          <w:highlight w:val="none"/>
        </w:rPr>
        <w:t>海绵城市——低影响开发雨水系统构建需统筹协调城市开发建设各个环节。在城市各层级、各相关规划中均应遵循低影响开发理念，明确低影响开发控制目标，结合城市开发区域或项目特点确定相应的规划控制指标，落实低影响开发设施建设的主要内容。</w:t>
      </w:r>
    </w:p>
    <w:p>
      <w:pPr>
        <w:ind w:firstLine="480"/>
        <w:rPr>
          <w:color w:val="auto"/>
          <w:highlight w:val="none"/>
        </w:rPr>
      </w:pPr>
      <w:r>
        <w:rPr>
          <w:color w:val="auto"/>
          <w:highlight w:val="none"/>
        </w:rPr>
        <w:t>低影响开发（Low Impact Development，LID）指在场地开发过程中采用源头、分散式措施维持场地开发前的水文特征，也称为低影响设计（Low Impact Design，LID）或低影响城市设计和开发（Low Impact Urban Design and Development，LIUDD）。其核心是维持场地开发前后水文特征不变，包括径流总量、峰值流量、峰现时间等。从水文循环角度，要维持径流总量不变，就要采取渗透、储存等方式，实现开发后一定量的径流量不外排；要维持峰值流量不变，就要采取渗透、储存、调节等措施削减峰值、延缓峰值时间。我国大多数城市土地开发强度普遍较大，仅在场地采用分散式源头削减措施，难以实现开发前后径流总量和峰值流量等维持基本不变，所以还必须借助于中途、末端等综合措施，来实现开发后水文特征接近于开发前的目标。</w:t>
      </w:r>
    </w:p>
    <w:p>
      <w:pPr>
        <w:pStyle w:val="251"/>
        <w:snapToGrid w:val="0"/>
        <w:ind w:firstLine="0" w:firstLineChars="0"/>
        <w:jc w:val="center"/>
        <w:rPr>
          <w:color w:val="auto"/>
          <w:highlight w:val="none"/>
        </w:rPr>
      </w:pPr>
      <w:r>
        <w:rPr>
          <w:color w:val="auto"/>
          <w:highlight w:val="none"/>
        </w:rPr>
        <w:drawing>
          <wp:inline distT="0" distB="0" distL="0" distR="0">
            <wp:extent cx="4343400" cy="1885950"/>
            <wp:effectExtent l="0" t="0" r="0" b="0"/>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pic:cNvPicPr>
                      <a:picLocks noChangeAspect="1" noChangeArrowheads="1"/>
                    </pic:cNvPicPr>
                  </pic:nvPicPr>
                  <pic:blipFill>
                    <a:blip r:embed="rId135">
                      <a:extLst>
                        <a:ext uri="{28A0092B-C50C-407E-A947-70E740481C1C}">
                          <a14:useLocalDpi xmlns:a14="http://schemas.microsoft.com/office/drawing/2010/main" val="0"/>
                        </a:ext>
                      </a:extLst>
                    </a:blip>
                    <a:srcRect l="8591" r="13059"/>
                    <a:stretch>
                      <a:fillRect/>
                    </a:stretch>
                  </pic:blipFill>
                  <pic:spPr>
                    <a:xfrm>
                      <a:off x="0" y="0"/>
                      <a:ext cx="4343400" cy="1885950"/>
                    </a:xfrm>
                    <a:prstGeom prst="rect">
                      <a:avLst/>
                    </a:prstGeom>
                    <a:noFill/>
                    <a:ln>
                      <a:noFill/>
                    </a:ln>
                  </pic:spPr>
                </pic:pic>
              </a:graphicData>
            </a:graphic>
          </wp:inline>
        </w:drawing>
      </w:r>
    </w:p>
    <w:p>
      <w:pPr>
        <w:pStyle w:val="333"/>
        <w:rPr>
          <w:color w:val="auto"/>
          <w:highlight w:val="none"/>
        </w:rPr>
      </w:pPr>
      <w:r>
        <w:rPr>
          <w:rFonts w:hint="eastAsia"/>
          <w:color w:val="auto"/>
          <w:highlight w:val="none"/>
        </w:rPr>
        <w:t xml:space="preserve">图16-1  </w:t>
      </w:r>
      <w:r>
        <w:rPr>
          <w:color w:val="auto"/>
          <w:highlight w:val="none"/>
        </w:rPr>
        <w:t>低影响开发水文原理示意图</w:t>
      </w:r>
    </w:p>
    <w:p>
      <w:pPr>
        <w:ind w:firstLine="480"/>
        <w:rPr>
          <w:color w:val="auto"/>
          <w:highlight w:val="none"/>
        </w:rPr>
      </w:pPr>
      <w:r>
        <w:rPr>
          <w:color w:val="auto"/>
          <w:highlight w:val="none"/>
        </w:rPr>
        <w:t>城市建设过程中应保护河流、湖泊、湿地、坑塘、沟渠等水生态敏感区，并结合这些区域及周边条件（如坡地、洼地、水体、绿地等）进行低影响开发雨水系统规划设计。优先通过分散、生态的低影响开发设施实现径流总量控制、径流峰值控制、径流污染控制、雨水资源化利用等目标，防止城镇化区域的河道侵蚀、水土流失、水体污染等。低影响开发雨水系统建设内容应纳入城市总体规划、水系规划、绿地系统规划、排水防涝规划、道路交通规划等相关规划中，各规划中有关低影响开发的建设内容应相互协调与衔接。设计阶段应对不同低影响开发设施及其组合进行科学合理的平面与竖向设计，在建筑与小区、城市道路、绿地与广场、水系等规划建设中，应统筹考虑景观水体、滨水带等开放空间，建设低影响开发设施，构建低影响开发雨水系统。</w:t>
      </w:r>
    </w:p>
    <w:p>
      <w:pPr>
        <w:pStyle w:val="3"/>
        <w:rPr>
          <w:color w:val="auto"/>
          <w:highlight w:val="none"/>
        </w:rPr>
      </w:pPr>
      <w:bookmarkStart w:id="912" w:name="_Toc11942"/>
      <w:bookmarkStart w:id="913" w:name="_Toc536295297"/>
      <w:bookmarkStart w:id="914" w:name="_Toc513816990"/>
      <w:bookmarkStart w:id="915" w:name="_Toc495674342"/>
      <w:r>
        <w:rPr>
          <w:rFonts w:hint="eastAsia"/>
          <w:color w:val="auto"/>
          <w:highlight w:val="none"/>
          <w:lang w:val="en-US" w:eastAsia="zh-CN"/>
        </w:rPr>
        <w:t>16</w:t>
      </w:r>
      <w:r>
        <w:rPr>
          <w:rFonts w:hint="eastAsia"/>
          <w:color w:val="auto"/>
          <w:highlight w:val="none"/>
        </w:rPr>
        <w:t>.4 工程措施适宜性</w:t>
      </w:r>
      <w:bookmarkEnd w:id="912"/>
      <w:bookmarkEnd w:id="913"/>
      <w:bookmarkEnd w:id="914"/>
      <w:bookmarkEnd w:id="915"/>
    </w:p>
    <w:p>
      <w:pPr>
        <w:ind w:firstLine="480"/>
        <w:rPr>
          <w:color w:val="auto"/>
          <w:highlight w:val="none"/>
        </w:rPr>
      </w:pPr>
      <w:r>
        <w:rPr>
          <w:rFonts w:hint="eastAsia"/>
          <w:color w:val="auto"/>
          <w:highlight w:val="none"/>
        </w:rPr>
        <w:t>2017年2月，广州市水务局下发了关于执行《广州市海绵城市规划建设管理暂行办法》的通知，《广州市海绵城市规划建设管理暂行办法》中提出开展海绵城市建设，结合本市“山城田海”自然山水格局，综合采取“渗、滞、蓄、净、用、排”等措施，构建低影响开发雨水系统，使70%以上的降雨就地消纳和利用，到2020年，城市建成区20%以上的面积达到目标要求；到2030年，城市建成区80%以上的面积达到目标要求。保护水生态环境，逐步提高城市排水防涝标准，有效控制面源污染。</w:t>
      </w:r>
    </w:p>
    <w:p>
      <w:pPr>
        <w:ind w:firstLine="480"/>
        <w:rPr>
          <w:rFonts w:hint="eastAsia"/>
          <w:color w:val="auto"/>
          <w:highlight w:val="none"/>
        </w:rPr>
      </w:pPr>
      <w:r>
        <w:rPr>
          <w:rFonts w:hint="eastAsia"/>
          <w:color w:val="auto"/>
          <w:highlight w:val="none"/>
        </w:rPr>
        <w:t>本工程为</w:t>
      </w:r>
      <w:r>
        <w:rPr>
          <w:rFonts w:hint="eastAsia"/>
          <w:color w:val="auto"/>
          <w:highlight w:val="none"/>
          <w:lang w:eastAsia="zh-CN"/>
        </w:rPr>
        <w:t>从化区温泉镇南大水库灌区(桃莲段)改造工程</w:t>
      </w:r>
      <w:r>
        <w:rPr>
          <w:rFonts w:hint="eastAsia"/>
          <w:color w:val="auto"/>
          <w:highlight w:val="none"/>
        </w:rPr>
        <w:t>，通过</w:t>
      </w:r>
      <w:r>
        <w:rPr>
          <w:color w:val="auto"/>
          <w:highlight w:val="none"/>
        </w:rPr>
        <w:t>水闸重建、</w:t>
      </w:r>
      <w:r>
        <w:rPr>
          <w:rFonts w:hint="eastAsia"/>
          <w:color w:val="auto"/>
          <w:highlight w:val="none"/>
        </w:rPr>
        <w:t>渠道整治</w:t>
      </w:r>
      <w:r>
        <w:rPr>
          <w:color w:val="auto"/>
          <w:highlight w:val="none"/>
        </w:rPr>
        <w:t>等</w:t>
      </w:r>
      <w:r>
        <w:rPr>
          <w:rFonts w:hint="eastAsia"/>
          <w:color w:val="auto"/>
          <w:highlight w:val="none"/>
        </w:rPr>
        <w:t>对本区域的雨水排放起到重要的调蓄作用，且本工程采用的工程措施具有强透水性，能够使大部分雨水渗入地下，降低</w:t>
      </w:r>
      <w:r>
        <w:rPr>
          <w:color w:val="auto"/>
          <w:highlight w:val="none"/>
        </w:rPr>
        <w:t>地表溢流漫流，</w:t>
      </w:r>
      <w:r>
        <w:rPr>
          <w:rFonts w:hint="eastAsia"/>
          <w:color w:val="auto"/>
          <w:highlight w:val="none"/>
        </w:rPr>
        <w:t>使降雨</w:t>
      </w:r>
      <w:r>
        <w:rPr>
          <w:color w:val="auto"/>
          <w:highlight w:val="none"/>
        </w:rPr>
        <w:t>可以尽可能</w:t>
      </w:r>
      <w:r>
        <w:rPr>
          <w:rFonts w:hint="eastAsia"/>
          <w:color w:val="auto"/>
          <w:highlight w:val="none"/>
        </w:rPr>
        <w:t>的</w:t>
      </w:r>
      <w:r>
        <w:rPr>
          <w:color w:val="auto"/>
          <w:highlight w:val="none"/>
        </w:rPr>
        <w:t>消纳和利用</w:t>
      </w:r>
      <w:r>
        <w:rPr>
          <w:rFonts w:hint="eastAsia"/>
          <w:color w:val="auto"/>
          <w:highlight w:val="none"/>
        </w:rPr>
        <w:t>，</w:t>
      </w:r>
      <w:r>
        <w:rPr>
          <w:color w:val="auto"/>
          <w:highlight w:val="none"/>
        </w:rPr>
        <w:t>有效控制</w:t>
      </w:r>
      <w:r>
        <w:rPr>
          <w:rFonts w:hint="eastAsia"/>
          <w:color w:val="auto"/>
          <w:highlight w:val="none"/>
        </w:rPr>
        <w:t>农业</w:t>
      </w:r>
      <w:r>
        <w:rPr>
          <w:color w:val="auto"/>
          <w:highlight w:val="none"/>
        </w:rPr>
        <w:t>面源污染</w:t>
      </w:r>
      <w:r>
        <w:rPr>
          <w:rFonts w:hint="eastAsia"/>
          <w:color w:val="auto"/>
          <w:highlight w:val="none"/>
        </w:rPr>
        <w:t>，大大降低了地面排水系统的负荷，本工程的建设符合《广州市海绵城市规划建设管理暂行办法》，采取的工程措施是适宜的。</w:t>
      </w:r>
    </w:p>
    <w:p>
      <w:pPr>
        <w:rPr>
          <w:rFonts w:hint="eastAsia"/>
          <w:color w:val="auto"/>
          <w:highlight w:val="none"/>
        </w:rPr>
      </w:pPr>
      <w:r>
        <w:rPr>
          <w:rFonts w:hint="eastAsia"/>
          <w:color w:val="auto"/>
          <w:highlight w:val="none"/>
        </w:rPr>
        <w:br w:type="page"/>
      </w:r>
    </w:p>
    <w:p>
      <w:pPr>
        <w:pStyle w:val="2"/>
        <w:keepNext/>
        <w:keepLines/>
        <w:pageBreakBefore/>
        <w:widowControl w:val="0"/>
        <w:numPr>
          <w:ilvl w:val="0"/>
          <w:numId w:val="0"/>
        </w:numPr>
        <w:kinsoku/>
        <w:wordWrap/>
        <w:overflowPunct/>
        <w:topLinePunct w:val="0"/>
        <w:autoSpaceDE/>
        <w:autoSpaceDN/>
        <w:bidi w:val="0"/>
        <w:adjustRightInd/>
        <w:snapToGrid/>
        <w:spacing w:line="576" w:lineRule="auto"/>
        <w:ind w:leftChars="0"/>
        <w:jc w:val="center"/>
        <w:textAlignment w:val="auto"/>
        <w:rPr>
          <w:rFonts w:hint="eastAsia" w:ascii="Times New Roman" w:hAnsi="Times New Roman" w:eastAsia="黑体" w:cs="Times New Roman"/>
          <w:color w:val="auto"/>
          <w:sz w:val="32"/>
          <w:szCs w:val="32"/>
          <w:highlight w:val="none"/>
          <w:lang w:val="en-US" w:eastAsia="zh-CN"/>
        </w:rPr>
      </w:pPr>
      <w:bookmarkStart w:id="916" w:name="_Toc25440"/>
      <w:bookmarkStart w:id="917" w:name="_Toc20255"/>
      <w:bookmarkStart w:id="918" w:name="_Toc20682"/>
      <w:bookmarkStart w:id="919" w:name="_Toc21992"/>
      <w:r>
        <w:rPr>
          <w:rFonts w:hint="eastAsia" w:cs="Times New Roman"/>
          <w:color w:val="auto"/>
          <w:sz w:val="32"/>
          <w:szCs w:val="32"/>
          <w:highlight w:val="none"/>
          <w:lang w:val="en-US" w:eastAsia="zh-CN"/>
        </w:rPr>
        <w:t>17</w:t>
      </w:r>
      <w:r>
        <w:rPr>
          <w:rFonts w:hint="eastAsia" w:ascii="Times New Roman" w:hAnsi="Times New Roman" w:eastAsia="黑体" w:cs="Times New Roman"/>
          <w:color w:val="auto"/>
          <w:sz w:val="32"/>
          <w:szCs w:val="32"/>
          <w:highlight w:val="none"/>
          <w:lang w:val="en-US" w:eastAsia="zh-CN"/>
        </w:rPr>
        <w:t xml:space="preserve"> 树木保护</w:t>
      </w:r>
      <w:bookmarkEnd w:id="916"/>
      <w:bookmarkEnd w:id="917"/>
      <w:bookmarkEnd w:id="918"/>
      <w:bookmarkEnd w:id="919"/>
      <w:r>
        <w:rPr>
          <w:rFonts w:hint="eastAsia" w:ascii="Times New Roman" w:hAnsi="Times New Roman" w:eastAsia="黑体" w:cs="Times New Roman"/>
          <w:color w:val="auto"/>
          <w:sz w:val="32"/>
          <w:szCs w:val="32"/>
          <w:highlight w:val="none"/>
          <w:lang w:val="en-US" w:eastAsia="zh-CN"/>
        </w:rPr>
        <w:t xml:space="preserve"> </w:t>
      </w:r>
    </w:p>
    <w:p>
      <w:pPr>
        <w:pStyle w:val="3"/>
        <w:pageBreakBefore w:val="0"/>
        <w:widowControl w:val="0"/>
        <w:numPr>
          <w:ilvl w:val="1"/>
          <w:numId w:val="0"/>
        </w:numPr>
        <w:kinsoku/>
        <w:wordWrap/>
        <w:overflowPunct/>
        <w:topLinePunct w:val="0"/>
        <w:autoSpaceDE/>
        <w:autoSpaceDN/>
        <w:bidi w:val="0"/>
        <w:adjustRightInd/>
        <w:snapToGrid/>
        <w:spacing w:line="360" w:lineRule="auto"/>
        <w:ind w:leftChars="0"/>
        <w:textAlignment w:val="auto"/>
        <w:rPr>
          <w:rFonts w:hint="eastAsia" w:ascii="Times New Roman" w:hAnsi="Times New Roman" w:eastAsia="黑体" w:cs="Times New Roman"/>
          <w:color w:val="auto"/>
          <w:sz w:val="28"/>
          <w:szCs w:val="28"/>
          <w:highlight w:val="none"/>
          <w:lang w:val="en-US" w:eastAsia="zh-CN"/>
        </w:rPr>
      </w:pPr>
      <w:bookmarkStart w:id="920" w:name="_Toc24752"/>
      <w:bookmarkStart w:id="921" w:name="_Toc11678"/>
      <w:bookmarkStart w:id="922" w:name="_Toc29775"/>
      <w:r>
        <w:rPr>
          <w:rFonts w:hint="eastAsia" w:cs="Times New Roman"/>
          <w:color w:val="auto"/>
          <w:sz w:val="28"/>
          <w:szCs w:val="28"/>
          <w:highlight w:val="none"/>
          <w:lang w:val="en-US" w:eastAsia="zh-CN"/>
        </w:rPr>
        <w:t>17</w:t>
      </w:r>
      <w:r>
        <w:rPr>
          <w:rFonts w:hint="eastAsia" w:ascii="Times New Roman" w:hAnsi="Times New Roman" w:eastAsia="黑体" w:cs="Times New Roman"/>
          <w:color w:val="auto"/>
          <w:sz w:val="28"/>
          <w:szCs w:val="28"/>
          <w:highlight w:val="none"/>
          <w:lang w:val="en-US" w:eastAsia="zh-CN"/>
        </w:rPr>
        <w:t>.1 编制依据及原则</w:t>
      </w:r>
      <w:bookmarkEnd w:id="920"/>
      <w:bookmarkEnd w:id="921"/>
      <w:bookmarkEnd w:id="922"/>
    </w:p>
    <w:p>
      <w:pPr>
        <w:pStyle w:val="4"/>
        <w:keepNext/>
        <w:keepLines/>
        <w:pageBreakBefore w:val="0"/>
        <w:widowControl w:val="0"/>
        <w:numPr>
          <w:ilvl w:val="2"/>
          <w:numId w:val="0"/>
        </w:numPr>
        <w:kinsoku/>
        <w:wordWrap/>
        <w:overflowPunct/>
        <w:topLinePunct w:val="0"/>
        <w:autoSpaceDE/>
        <w:autoSpaceDN/>
        <w:bidi w:val="0"/>
        <w:adjustRightInd/>
        <w:snapToGrid/>
        <w:spacing w:before="157" w:beforeLines="50" w:after="157" w:afterLines="50" w:line="360" w:lineRule="auto"/>
        <w:ind w:leftChars="0"/>
        <w:textAlignment w:val="auto"/>
        <w:rPr>
          <w:rFonts w:hint="eastAsia" w:ascii="黑体" w:hAnsi="黑体" w:eastAsia="黑体" w:cs="黑体"/>
          <w:color w:val="auto"/>
          <w:sz w:val="28"/>
          <w:szCs w:val="28"/>
          <w:lang w:val="en-US" w:eastAsia="zh-CN"/>
        </w:rPr>
      </w:pPr>
      <w:r>
        <w:rPr>
          <w:rFonts w:hint="eastAsia" w:ascii="黑体" w:hAnsi="黑体" w:eastAsia="黑体" w:cs="黑体"/>
          <w:color w:val="auto"/>
          <w:sz w:val="28"/>
          <w:szCs w:val="28"/>
          <w:lang w:val="en-US" w:eastAsia="zh-CN"/>
        </w:rPr>
        <w:t>17.1.1 编制依据</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（1）《广州市绿化条例》</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（2）《城市绿化条例》</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（3）《广东省城市绿化条例》</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（4）《广州市公园条例》</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（5）《国务院办公厅关于科学绿化的指导意见》国发办[2021]19号</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（6）《国务院办公厅关于科学绿化的指导意见》</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（7）《广州市关于在城市更新行动种防止大拆大建问题的实施意见》</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（8）《广州市关于科学绿化的实施意见》</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（9）关于《广州市城市树木保护管理规定（试行）》的通知(穗林业园林规字[2022]1号)</w:t>
      </w:r>
      <w:bookmarkStart w:id="923" w:name="_Toc95992438"/>
    </w:p>
    <w:bookmarkEnd w:id="923"/>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 xml:space="preserve">（10）《城市道路绿化规划与设计规范》(CJJ75-1997) </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 xml:space="preserve">（11）《园林绿化工程施工及验收规范》(CJJ 82-2012) </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（12）《广州市行道树技术工作手册》(广州市林业和园林局2020年11月)》</w:t>
      </w:r>
    </w:p>
    <w:p>
      <w:pPr>
        <w:pStyle w:val="4"/>
        <w:keepNext/>
        <w:keepLines/>
        <w:pageBreakBefore w:val="0"/>
        <w:widowControl w:val="0"/>
        <w:numPr>
          <w:ilvl w:val="2"/>
          <w:numId w:val="0"/>
        </w:numPr>
        <w:kinsoku/>
        <w:wordWrap/>
        <w:overflowPunct/>
        <w:topLinePunct w:val="0"/>
        <w:autoSpaceDE/>
        <w:autoSpaceDN/>
        <w:bidi w:val="0"/>
        <w:adjustRightInd/>
        <w:snapToGrid/>
        <w:spacing w:before="157" w:beforeLines="50" w:after="157" w:afterLines="50" w:line="360" w:lineRule="auto"/>
        <w:ind w:leftChars="0"/>
        <w:textAlignment w:val="auto"/>
        <w:rPr>
          <w:rFonts w:hint="eastAsia" w:ascii="黑体" w:hAnsi="黑体" w:eastAsia="黑体" w:cs="黑体"/>
          <w:color w:val="auto"/>
          <w:sz w:val="28"/>
          <w:szCs w:val="28"/>
          <w:lang w:val="en-US" w:eastAsia="zh-CN"/>
        </w:rPr>
      </w:pPr>
      <w:r>
        <w:rPr>
          <w:rFonts w:hint="eastAsia" w:ascii="黑体" w:hAnsi="黑体" w:eastAsia="黑体" w:cs="黑体"/>
          <w:color w:val="auto"/>
          <w:sz w:val="28"/>
          <w:szCs w:val="28"/>
          <w:lang w:val="en-US" w:eastAsia="zh-CN"/>
        </w:rPr>
        <w:t xml:space="preserve">17.1.2 </w:t>
      </w:r>
      <w:bookmarkStart w:id="924" w:name="_Toc95992441"/>
      <w:r>
        <w:rPr>
          <w:rFonts w:hint="eastAsia" w:ascii="黑体" w:hAnsi="黑体" w:eastAsia="黑体" w:cs="黑体"/>
          <w:color w:val="auto"/>
          <w:sz w:val="28"/>
          <w:szCs w:val="28"/>
          <w:lang w:val="en-US" w:eastAsia="zh-CN"/>
        </w:rPr>
        <w:t>树木分类基本定义</w:t>
      </w:r>
      <w:bookmarkEnd w:id="924"/>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（1）古树名木：古树，是指树龄在100年以上（含100年）的树木。名木，是指国内外稀有的以及具有历史价值和纪念意义及重要科研价值的树木。</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（2）古树后续资源：树龄在80年以上（含80年）不足100年的树木以及胸径80cm（含80cm）以上的树木；</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（3）大树：胸径在20cm以上（含20cm）80cm以下（不包含80cm）的树木；</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（4）其他：胸径在20cm以下（不含20cm）的树木。</w:t>
      </w:r>
    </w:p>
    <w:p>
      <w:pPr>
        <w:pStyle w:val="4"/>
        <w:keepNext/>
        <w:keepLines/>
        <w:pageBreakBefore w:val="0"/>
        <w:widowControl w:val="0"/>
        <w:numPr>
          <w:ilvl w:val="2"/>
          <w:numId w:val="0"/>
        </w:numPr>
        <w:kinsoku/>
        <w:wordWrap/>
        <w:overflowPunct/>
        <w:topLinePunct w:val="0"/>
        <w:autoSpaceDE/>
        <w:autoSpaceDN/>
        <w:bidi w:val="0"/>
        <w:adjustRightInd/>
        <w:snapToGrid/>
        <w:spacing w:before="157" w:beforeLines="50" w:after="157" w:afterLines="50" w:line="360" w:lineRule="auto"/>
        <w:ind w:leftChars="0"/>
        <w:textAlignment w:val="auto"/>
        <w:rPr>
          <w:rFonts w:hint="eastAsia" w:ascii="黑体" w:hAnsi="黑体" w:eastAsia="黑体" w:cs="黑体"/>
          <w:color w:val="auto"/>
          <w:sz w:val="28"/>
          <w:szCs w:val="28"/>
          <w:lang w:val="en-US" w:eastAsia="zh-CN"/>
        </w:rPr>
      </w:pPr>
      <w:r>
        <w:rPr>
          <w:rFonts w:hint="eastAsia" w:ascii="黑体" w:hAnsi="黑体" w:eastAsia="黑体" w:cs="黑体"/>
          <w:color w:val="auto"/>
          <w:sz w:val="28"/>
          <w:szCs w:val="28"/>
          <w:lang w:val="en-US" w:eastAsia="zh-CN"/>
        </w:rPr>
        <w:t xml:space="preserve">17.1.2 </w:t>
      </w:r>
      <w:bookmarkStart w:id="925" w:name="_Toc95992442"/>
      <w:bookmarkStart w:id="926" w:name="_Toc325"/>
      <w:r>
        <w:rPr>
          <w:rFonts w:hint="eastAsia" w:ascii="黑体" w:hAnsi="黑体" w:eastAsia="黑体" w:cs="黑体"/>
          <w:color w:val="auto"/>
          <w:sz w:val="28"/>
          <w:szCs w:val="28"/>
          <w:lang w:val="en-US" w:eastAsia="zh-CN"/>
        </w:rPr>
        <w:t>保护利用与迁改原则</w:t>
      </w:r>
      <w:bookmarkEnd w:id="925"/>
      <w:bookmarkEnd w:id="926"/>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（1）科学绿化</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科学绿化是遵循自然规律和经济规律、保护修复自然生态系统、改善生态环境、维护生态安全的重要举措。坚持树木保护优先、分级分类，合理利用的指导思想，保护树木及其生境。</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1）古树名木，必须保留。</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2）古树后续资源胸径80cm以上的树木，应原址保留为主，应留尽留，最大限度保护。</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3）胸径在20cm以上（含20cm）80cm以下（不包含80cm）的树木，确实需要迁移的树木，原则上在项目范围内100%回迁移植利用。</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4）无迁移利用价值树木，不作保留。</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（2）整体协调原则</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绿地系统是具有一定结构和功能的系统，应将其作为一个整体来考虑。将道路红线内绿化与红线外绿地系统综合考虑，全面安排，实现绿地系统的优化利用。景观设计协调性可体现在外部协调性与项目本身内部协调性两方面。景观与道路外部环境景色特点协调统一，体现地域特色，展现门户形象。内部协调性主要研究道路本身平、纵面的立体配合及其产生景观视觉效果，为安全行驶创造条件。</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（3）因地制宜、适地适绿，充分考虑水资源承载能力，宜乔则乔、宜灌则灌、宜草则草，构建健康稳定的生态系统。</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（4）坚持“以人为本”的设计理念</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建设“以人为本”的道路系统，处理好机动车、行人的关系;重视道路景观设计，使道路布局及绿化与沿线环境和谐统一。</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（5）注重环境保护，与周边协调</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重视工程沿线的环境保护和景观设计，协调道路及交通设施的总体布置，通过景观的多样变化，达到空间生态、绿色、景观的有机组合，在方案设计中尽量减少对自然环境的干扰。</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（6）景观多样性原则</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从景观元素及结构方面的多样性，主要从景观类型的多样性方面体现。本项目根据中央绿化带以及人行道绿化功能的区别，考虑植物种类配置的多样性，多种植物合理搭配，营造复杂的植物群落结构，形成多样化的植物景观。</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（7）统一性</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道路景观不但要有本身的整体性和统一性，而且要融入周边环境中去，与整个城市环境保持统一。旧路改造种植与新种绿化基调树种基本保持一致，树种变化根据植物的形态、质感、色彩、采取逐渐过渡的方式，是使视觉平稳过渡、不觉突兀。</w:t>
      </w:r>
    </w:p>
    <w:p>
      <w:pPr>
        <w:pStyle w:val="3"/>
        <w:pageBreakBefore w:val="0"/>
        <w:widowControl w:val="0"/>
        <w:numPr>
          <w:ilvl w:val="1"/>
          <w:numId w:val="0"/>
        </w:numPr>
        <w:kinsoku/>
        <w:wordWrap/>
        <w:overflowPunct/>
        <w:topLinePunct w:val="0"/>
        <w:autoSpaceDE/>
        <w:autoSpaceDN/>
        <w:bidi w:val="0"/>
        <w:adjustRightInd/>
        <w:snapToGrid/>
        <w:spacing w:line="360" w:lineRule="auto"/>
        <w:ind w:leftChars="0"/>
        <w:textAlignment w:val="auto"/>
        <w:rPr>
          <w:rFonts w:hint="eastAsia" w:ascii="Times New Roman" w:hAnsi="Times New Roman" w:eastAsia="黑体" w:cs="Times New Roman"/>
          <w:color w:val="auto"/>
          <w:sz w:val="28"/>
          <w:szCs w:val="28"/>
          <w:highlight w:val="none"/>
          <w:lang w:val="en-US" w:eastAsia="zh-CN"/>
        </w:rPr>
      </w:pPr>
      <w:bookmarkStart w:id="927" w:name="_Toc30630"/>
      <w:bookmarkStart w:id="928" w:name="_Toc12843"/>
      <w:bookmarkStart w:id="929" w:name="_Toc5252"/>
      <w:r>
        <w:rPr>
          <w:rFonts w:hint="eastAsia" w:cs="Times New Roman"/>
          <w:color w:val="auto"/>
          <w:sz w:val="28"/>
          <w:szCs w:val="28"/>
          <w:highlight w:val="none"/>
          <w:lang w:val="en-US" w:eastAsia="zh-CN"/>
        </w:rPr>
        <w:t>17</w:t>
      </w:r>
      <w:r>
        <w:rPr>
          <w:rFonts w:hint="eastAsia" w:ascii="Times New Roman" w:hAnsi="Times New Roman" w:eastAsia="黑体" w:cs="Times New Roman"/>
          <w:color w:val="auto"/>
          <w:sz w:val="28"/>
          <w:szCs w:val="28"/>
          <w:highlight w:val="none"/>
          <w:lang w:val="en-US" w:eastAsia="zh-CN"/>
        </w:rPr>
        <w:t xml:space="preserve">.2 </w:t>
      </w:r>
      <w:bookmarkStart w:id="930" w:name="_Toc95992447"/>
      <w:bookmarkStart w:id="931" w:name="_Toc32164"/>
      <w:r>
        <w:rPr>
          <w:rFonts w:hint="eastAsia" w:ascii="Times New Roman" w:hAnsi="Times New Roman" w:eastAsia="黑体" w:cs="Times New Roman"/>
          <w:color w:val="auto"/>
          <w:sz w:val="28"/>
          <w:szCs w:val="28"/>
          <w:highlight w:val="none"/>
          <w:lang w:val="en-US" w:eastAsia="zh-CN"/>
        </w:rPr>
        <w:t>树木资源</w:t>
      </w:r>
      <w:bookmarkEnd w:id="930"/>
      <w:bookmarkEnd w:id="931"/>
      <w:r>
        <w:rPr>
          <w:rFonts w:hint="eastAsia" w:ascii="Times New Roman" w:hAnsi="Times New Roman" w:eastAsia="黑体" w:cs="Times New Roman"/>
          <w:color w:val="auto"/>
          <w:sz w:val="28"/>
          <w:szCs w:val="28"/>
          <w:highlight w:val="none"/>
          <w:lang w:val="en-US" w:eastAsia="zh-CN"/>
        </w:rPr>
        <w:t>现状情况及涉树原因</w:t>
      </w:r>
      <w:bookmarkEnd w:id="927"/>
      <w:bookmarkEnd w:id="928"/>
      <w:bookmarkEnd w:id="929"/>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本工程</w:t>
      </w:r>
      <w:r>
        <w:rPr>
          <w:rFonts w:hint="eastAsia"/>
          <w:b w:val="0"/>
          <w:bCs/>
          <w:color w:val="auto"/>
          <w:highlight w:val="none"/>
          <w:lang w:val="en-US" w:eastAsia="zh-CN"/>
        </w:rPr>
        <w:t>新建浆砌石渠道1207m，新建泄洪闸1座，拆除重建泄洪闸2座，拆除重建机耕桥2座，拆除重建人行桥5座，新建钢筋砼溢流面板1168m²等</w:t>
      </w:r>
      <w:r>
        <w:rPr>
          <w:rFonts w:hint="eastAsia" w:ascii="宋体" w:hAnsi="宋体" w:eastAsia="宋体" w:cs="宋体"/>
          <w:color w:val="auto"/>
          <w:sz w:val="24"/>
          <w:szCs w:val="24"/>
          <w:highlight w:val="none"/>
          <w:lang w:val="en-US" w:eastAsia="zh-CN"/>
        </w:rPr>
        <w:t>。经现场察看和调查，</w:t>
      </w:r>
      <w:r>
        <w:rPr>
          <w:rFonts w:hint="eastAsia" w:ascii="宋体" w:hAnsi="宋体" w:cs="宋体"/>
          <w:color w:val="auto"/>
          <w:sz w:val="24"/>
          <w:szCs w:val="24"/>
          <w:highlight w:val="none"/>
          <w:lang w:val="en-US" w:eastAsia="zh-CN"/>
        </w:rPr>
        <w:t>渠道</w:t>
      </w:r>
      <w:r>
        <w:rPr>
          <w:rFonts w:hint="eastAsia" w:ascii="宋体" w:hAnsi="宋体" w:eastAsia="宋体" w:cs="宋体"/>
          <w:color w:val="auto"/>
          <w:sz w:val="24"/>
          <w:szCs w:val="24"/>
          <w:highlight w:val="none"/>
          <w:lang w:val="en-US" w:eastAsia="zh-CN"/>
        </w:rPr>
        <w:t>涉及的场地均以荔枝、青竹等果林为主，并不涉及古树资源及古树名木，树木胸径均在20cm以内。</w:t>
      </w:r>
    </w:p>
    <w:p>
      <w:pPr>
        <w:pStyle w:val="3"/>
        <w:pageBreakBefore w:val="0"/>
        <w:widowControl w:val="0"/>
        <w:numPr>
          <w:ilvl w:val="1"/>
          <w:numId w:val="0"/>
        </w:numPr>
        <w:kinsoku/>
        <w:wordWrap/>
        <w:overflowPunct/>
        <w:topLinePunct w:val="0"/>
        <w:autoSpaceDE/>
        <w:autoSpaceDN/>
        <w:bidi w:val="0"/>
        <w:adjustRightInd/>
        <w:snapToGrid/>
        <w:spacing w:line="360" w:lineRule="auto"/>
        <w:ind w:leftChars="0"/>
        <w:textAlignment w:val="auto"/>
        <w:rPr>
          <w:rFonts w:hint="eastAsia" w:ascii="Times New Roman" w:hAnsi="Times New Roman" w:eastAsia="黑体" w:cs="Times New Roman"/>
          <w:color w:val="auto"/>
          <w:sz w:val="28"/>
          <w:szCs w:val="28"/>
          <w:highlight w:val="none"/>
          <w:lang w:val="en-US" w:eastAsia="zh-CN"/>
        </w:rPr>
      </w:pPr>
      <w:bookmarkStart w:id="932" w:name="_Toc968"/>
      <w:bookmarkStart w:id="933" w:name="_Toc15061"/>
      <w:bookmarkStart w:id="934" w:name="_Toc23003"/>
      <w:r>
        <w:rPr>
          <w:rFonts w:hint="eastAsia" w:cs="Times New Roman"/>
          <w:color w:val="auto"/>
          <w:sz w:val="28"/>
          <w:szCs w:val="28"/>
          <w:highlight w:val="none"/>
          <w:lang w:val="en-US" w:eastAsia="zh-CN"/>
        </w:rPr>
        <w:t>17</w:t>
      </w:r>
      <w:r>
        <w:rPr>
          <w:rFonts w:hint="eastAsia" w:ascii="Times New Roman" w:hAnsi="Times New Roman" w:eastAsia="黑体" w:cs="Times New Roman"/>
          <w:color w:val="auto"/>
          <w:sz w:val="28"/>
          <w:szCs w:val="28"/>
          <w:highlight w:val="none"/>
          <w:lang w:val="en-US" w:eastAsia="zh-CN"/>
        </w:rPr>
        <w:t xml:space="preserve">.3 </w:t>
      </w:r>
      <w:bookmarkStart w:id="935" w:name="_Toc16305"/>
      <w:r>
        <w:rPr>
          <w:rFonts w:hint="eastAsia" w:ascii="Times New Roman" w:hAnsi="Times New Roman" w:eastAsia="黑体" w:cs="Times New Roman"/>
          <w:color w:val="auto"/>
          <w:sz w:val="28"/>
          <w:szCs w:val="28"/>
          <w:highlight w:val="none"/>
          <w:lang w:val="en-US" w:eastAsia="zh-CN"/>
        </w:rPr>
        <w:t>树木保护、利用和迁移建议</w:t>
      </w:r>
      <w:bookmarkEnd w:id="932"/>
      <w:bookmarkEnd w:id="933"/>
      <w:bookmarkEnd w:id="934"/>
      <w:bookmarkEnd w:id="935"/>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本工程涉及树木均为荔枝、青竹等果林，并不涉及古树资源及古树名木，树木胸径均在20cm以内。</w:t>
      </w:r>
    </w:p>
    <w:p>
      <w:pPr>
        <w:keepNext w:val="0"/>
        <w:keepLines w:val="0"/>
        <w:pageBreakBefore w:val="0"/>
        <w:widowControl w:val="0"/>
        <w:kinsoku/>
        <w:wordWrap/>
        <w:overflowPunct/>
        <w:topLinePunct w:val="0"/>
        <w:autoSpaceDE/>
        <w:autoSpaceDN/>
        <w:bidi w:val="0"/>
        <w:adjustRightInd/>
        <w:snapToGrid/>
        <w:spacing w:before="63" w:beforeLines="20" w:after="63" w:afterLines="20" w:line="360" w:lineRule="auto"/>
        <w:ind w:left="0" w:leftChars="0" w:right="0" w:rightChars="0" w:firstLine="480" w:firstLineChars="200"/>
        <w:jc w:val="both"/>
        <w:textAlignment w:val="auto"/>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综上所述，本项目树木保护可以参照《广州市城市树木保护管理规定（试行）》第二条，本工程涉及树木以青苗补偿形式对权属村民或村委补偿，不纳入城市树木保护管理范畴。</w:t>
      </w:r>
    </w:p>
    <w:p>
      <w:pPr>
        <w:ind w:left="0" w:leftChars="0" w:firstLine="0" w:firstLineChars="0"/>
        <w:rPr>
          <w:rFonts w:hint="eastAsia" w:ascii="宋体" w:hAnsi="宋体" w:eastAsia="宋体" w:cs="宋体"/>
          <w:color w:val="auto"/>
          <w:sz w:val="24"/>
          <w:szCs w:val="24"/>
          <w:highlight w:val="none"/>
          <w:lang w:val="en-US" w:eastAsia="zh-CN"/>
        </w:rPr>
      </w:pPr>
    </w:p>
    <w:p>
      <w:pPr>
        <w:rPr>
          <w:color w:val="auto"/>
        </w:rPr>
      </w:pPr>
      <w:r>
        <w:rPr>
          <w:rFonts w:hint="eastAsia" w:ascii="宋体" w:hAnsi="宋体" w:eastAsia="宋体" w:cs="宋体"/>
          <w:color w:val="auto"/>
          <w:sz w:val="24"/>
          <w:szCs w:val="24"/>
          <w:highlight w:val="none"/>
          <w:lang w:val="en-US" w:eastAsia="zh-CN"/>
        </w:rPr>
        <w:br w:type="page"/>
      </w:r>
      <w:r>
        <w:rPr>
          <w:color w:val="auto"/>
        </w:rPr>
        <w:drawing>
          <wp:inline distT="0" distB="0" distL="114300" distR="114300">
            <wp:extent cx="5381625" cy="7667625"/>
            <wp:effectExtent l="0" t="0" r="9525" b="9525"/>
            <wp:docPr id="1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4"/>
                    <pic:cNvPicPr>
                      <a:picLocks noChangeAspect="1"/>
                    </pic:cNvPicPr>
                  </pic:nvPicPr>
                  <pic:blipFill>
                    <a:blip r:embed="rId136"/>
                    <a:stretch>
                      <a:fillRect/>
                    </a:stretch>
                  </pic:blipFill>
                  <pic:spPr>
                    <a:xfrm>
                      <a:off x="0" y="0"/>
                      <a:ext cx="5381625" cy="7667625"/>
                    </a:xfrm>
                    <a:prstGeom prst="rect">
                      <a:avLst/>
                    </a:prstGeom>
                    <a:noFill/>
                    <a:ln>
                      <a:noFill/>
                    </a:ln>
                  </pic:spPr>
                </pic:pic>
              </a:graphicData>
            </a:graphic>
          </wp:inline>
        </w:drawing>
      </w:r>
    </w:p>
    <w:p>
      <w:pPr>
        <w:rPr>
          <w:color w:val="auto"/>
        </w:rPr>
      </w:pPr>
      <w:r>
        <w:rPr>
          <w:color w:val="auto"/>
        </w:rPr>
        <w:br w:type="page"/>
      </w:r>
    </w:p>
    <w:p>
      <w:pPr>
        <w:rPr>
          <w:rFonts w:hint="eastAsia"/>
          <w:color w:val="auto"/>
          <w:lang w:val="en-US" w:eastAsia="zh-CN"/>
        </w:rPr>
      </w:pPr>
    </w:p>
    <w:p>
      <w:pPr>
        <w:ind w:firstLine="480"/>
        <w:rPr>
          <w:rFonts w:hint="eastAsia"/>
          <w:color w:val="auto"/>
          <w:highlight w:val="none"/>
        </w:rPr>
      </w:pPr>
      <w:r>
        <w:rPr>
          <w:color w:val="auto"/>
        </w:rPr>
        <w:drawing>
          <wp:inline distT="0" distB="0" distL="114300" distR="114300">
            <wp:extent cx="5162550" cy="6505575"/>
            <wp:effectExtent l="0" t="0" r="0" b="9525"/>
            <wp:docPr id="2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5"/>
                    <pic:cNvPicPr>
                      <a:picLocks noChangeAspect="1"/>
                    </pic:cNvPicPr>
                  </pic:nvPicPr>
                  <pic:blipFill>
                    <a:blip r:embed="rId137"/>
                    <a:stretch>
                      <a:fillRect/>
                    </a:stretch>
                  </pic:blipFill>
                  <pic:spPr>
                    <a:xfrm>
                      <a:off x="0" y="0"/>
                      <a:ext cx="5162550" cy="6505575"/>
                    </a:xfrm>
                    <a:prstGeom prst="rect">
                      <a:avLst/>
                    </a:prstGeom>
                    <a:noFill/>
                    <a:ln>
                      <a:noFill/>
                    </a:ln>
                  </pic:spPr>
                </pic:pic>
              </a:graphicData>
            </a:graphic>
          </wp:inline>
        </w:drawing>
      </w:r>
    </w:p>
    <w:sectPr>
      <w:pgSz w:w="11906" w:h="16838"/>
      <w:pgMar w:top="1418" w:right="1644" w:bottom="1418" w:left="1701" w:header="851" w:footer="992" w:gutter="0"/>
      <w:pgBorders>
        <w:top w:val="none" w:sz="0" w:space="0"/>
        <w:left w:val="none" w:sz="0" w:space="0"/>
        <w:bottom w:val="none" w:sz="0" w:space="0"/>
        <w:right w:val="none" w:sz="0" w:space="0"/>
      </w:pgBorders>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AFF" w:usb1="C0007841" w:usb2="00000009" w:usb3="00000000" w:csb0="400001FF" w:csb1="FFFF0000"/>
  </w:font>
  <w:font w:name="宋体">
    <w:panose1 w:val="02010600030101010101"/>
    <w:charset w:val="7A"/>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华文楷体">
    <w:altName w:val="宋体"/>
    <w:panose1 w:val="02010600040101010101"/>
    <w:charset w:val="86"/>
    <w:family w:val="auto"/>
    <w:pitch w:val="default"/>
    <w:sig w:usb0="00000000" w:usb1="00000000" w:usb2="00000000" w:usb3="00000000" w:csb0="0004009F" w:csb1="DFD70000"/>
  </w:font>
  <w:font w:name="Cambria">
    <w:panose1 w:val="02040503050406030204"/>
    <w:charset w:val="00"/>
    <w:family w:val="roman"/>
    <w:pitch w:val="default"/>
    <w:sig w:usb0="E00002FF" w:usb1="400004FF" w:usb2="00000000" w:usb3="00000000" w:csb0="2000019F" w:csb1="00000000"/>
  </w:font>
  <w:font w:name="华文细黑">
    <w:altName w:val="微软雅黑"/>
    <w:panose1 w:val="02010600040101010101"/>
    <w:charset w:val="86"/>
    <w:family w:val="auto"/>
    <w:pitch w:val="default"/>
    <w:sig w:usb0="00000000" w:usb1="00000000" w:usb2="00000000" w:usb3="00000000" w:csb0="0004009F" w:csb1="DFD70000"/>
  </w:font>
  <w:font w:name="Swis721 Lt BT">
    <w:panose1 w:val="020B0403020202020204"/>
    <w:charset w:val="00"/>
    <w:family w:val="swiss"/>
    <w:pitch w:val="default"/>
    <w:sig w:usb0="00000000" w:usb1="00000000" w:usb2="00000000" w:usb3="00000000" w:csb0="00000000" w:csb1="00000000"/>
  </w:font>
  <w:font w:name="方正细黑一简体">
    <w:altName w:val="黑体"/>
    <w:panose1 w:val="00000000000000000000"/>
    <w:charset w:val="86"/>
    <w:family w:val="script"/>
    <w:pitch w:val="default"/>
    <w:sig w:usb0="00000000" w:usb1="00000000" w:usb2="00000010" w:usb3="00000000" w:csb0="00040000" w:csb1="00000000"/>
  </w:font>
  <w:font w:name="方正小标宋_GBK">
    <w:altName w:val="微软雅黑"/>
    <w:panose1 w:val="00000000000000000000"/>
    <w:charset w:val="86"/>
    <w:family w:val="script"/>
    <w:pitch w:val="default"/>
    <w:sig w:usb0="00000000" w:usb1="00000000" w:usb2="00082016" w:usb3="00000000" w:csb0="00040001" w:csb1="00000000"/>
  </w:font>
  <w:font w:name="Swis721 BT">
    <w:panose1 w:val="020B0504020202020204"/>
    <w:charset w:val="00"/>
    <w:family w:val="swiss"/>
    <w:pitch w:val="default"/>
    <w:sig w:usb0="00000000" w:usb1="00000000" w:usb2="00000000" w:usb3="00000000" w:csb0="00000000" w:csb1="00000000"/>
  </w:font>
  <w:font w:name="楷体_GB2312">
    <w:altName w:val="楷体"/>
    <w:panose1 w:val="00000000000000000000"/>
    <w:charset w:val="86"/>
    <w:family w:val="modern"/>
    <w:pitch w:val="default"/>
    <w:sig w:usb0="00000000" w:usb1="00000000" w:usb2="00000000" w:usb3="00000000" w:csb0="00040000" w:csb1="00000000"/>
  </w:font>
  <w:font w:name="..">
    <w:altName w:val="宋体"/>
    <w:panose1 w:val="00000000000000000000"/>
    <w:charset w:val="86"/>
    <w:family w:val="auto"/>
    <w:pitch w:val="default"/>
    <w:sig w:usb0="00000000" w:usb1="00000000" w:usb2="00000010" w:usb3="00000000" w:csb0="00040000" w:csb1="00000000"/>
  </w:font>
  <w:font w:name="Arial Unicode MS">
    <w:altName w:val="宋体"/>
    <w:panose1 w:val="020B0604020202020204"/>
    <w:charset w:val="86"/>
    <w:family w:val="swiss"/>
    <w:pitch w:val="default"/>
    <w:sig w:usb0="00000000" w:usb1="00000000" w:usb2="0000003F" w:usb3="00000000" w:csb0="603F01FF" w:csb1="FFFF0000"/>
  </w:font>
  <w:font w:name="Tahoma">
    <w:panose1 w:val="020B0604030504040204"/>
    <w:charset w:val="00"/>
    <w:family w:val="swiss"/>
    <w:pitch w:val="default"/>
    <w:sig w:usb0="E1002EFF" w:usb1="C000605B" w:usb2="00000029" w:usb3="00000000" w:csb0="200101FF" w:csb1="20280000"/>
  </w:font>
  <w:font w:name="华文仿宋">
    <w:altName w:val="仿宋"/>
    <w:panose1 w:val="02010600040101010101"/>
    <w:charset w:val="86"/>
    <w:family w:val="auto"/>
    <w:pitch w:val="default"/>
    <w:sig w:usb0="00000000" w:usb1="00000000" w:usb2="00000000" w:usb3="00000000" w:csb0="0004009F" w:csb1="DFD70000"/>
  </w:font>
  <w:font w:name="Verdana">
    <w:panose1 w:val="020B0604030504040204"/>
    <w:charset w:val="00"/>
    <w:family w:val="swiss"/>
    <w:pitch w:val="default"/>
    <w:sig w:usb0="A10006FF" w:usb1="4000205B" w:usb2="00000010" w:usb3="00000000" w:csb0="2000019F" w:csb1="00000000"/>
  </w:font>
  <w:font w:name="方正小标宋简体">
    <w:altName w:val="黑体"/>
    <w:panose1 w:val="02000000000000000000"/>
    <w:charset w:val="86"/>
    <w:family w:val="auto"/>
    <w:pitch w:val="default"/>
    <w:sig w:usb0="00000000" w:usb1="00000000" w:usb2="00000012" w:usb3="00000000" w:csb0="00040001" w:csb1="00000000"/>
  </w:font>
  <w:font w:name="等线 Light">
    <w:altName w:val="宋体"/>
    <w:panose1 w:val="02010600030101010101"/>
    <w:charset w:val="86"/>
    <w:family w:val="auto"/>
    <w:pitch w:val="default"/>
    <w:sig w:usb0="00000000" w:usb1="00000000" w:usb2="00000016" w:usb3="00000000" w:csb0="0004000F" w:csb1="00000000"/>
  </w:font>
  <w:font w:name="等线">
    <w:altName w:val="微软雅黑"/>
    <w:panose1 w:val="02010600030101010101"/>
    <w:charset w:val="86"/>
    <w:family w:val="auto"/>
    <w:pitch w:val="default"/>
    <w:sig w:usb0="00000000" w:usb1="00000000" w:usb2="00000016" w:usb3="00000000" w:csb0="0004000F" w:csb1="00000000"/>
  </w:font>
  <w:font w:name="Microsoft YaHei UI">
    <w:altName w:val="宋体"/>
    <w:panose1 w:val="020B0503020204020204"/>
    <w:charset w:val="86"/>
    <w:family w:val="swiss"/>
    <w:pitch w:val="default"/>
    <w:sig w:usb0="00000000" w:usb1="00000000" w:usb2="00000016" w:usb3="00000000" w:csb0="0004001F" w:csb1="00000000"/>
  </w:font>
  <w:font w:name="ˎ̥">
    <w:altName w:val="Times New Roman"/>
    <w:panose1 w:val="00000000000000000000"/>
    <w:charset w:val="00"/>
    <w:family w:val="roman"/>
    <w:pitch w:val="default"/>
    <w:sig w:usb0="00000000" w:usb1="00000000" w:usb2="00000000" w:usb3="00000000" w:csb0="00000000" w:csb1="00000000"/>
  </w:font>
  <w:font w:name="MingLiU">
    <w:panose1 w:val="02020509000000000000"/>
    <w:charset w:val="88"/>
    <w:family w:val="modern"/>
    <w:pitch w:val="default"/>
    <w:sig w:usb0="A00002FF" w:usb1="28CFFCFA" w:usb2="00000016" w:usb3="00000000" w:csb0="00100001" w:csb1="00000000"/>
  </w:font>
  <w:font w:name="Cambria Math">
    <w:panose1 w:val="02040503050406030204"/>
    <w:charset w:val="00"/>
    <w:family w:val="roman"/>
    <w:pitch w:val="default"/>
    <w:sig w:usb0="E00002FF" w:usb1="420024FF" w:usb2="00000000" w:usb3="00000000" w:csb0="2000019F" w:csb1="00000000"/>
  </w:font>
  <w:font w:name="等线 Light">
    <w:altName w:val="GENISO"/>
    <w:panose1 w:val="00000000000000000000"/>
    <w:charset w:val="00"/>
    <w:family w:val="auto"/>
    <w:pitch w:val="default"/>
    <w:sig w:usb0="00000000" w:usb1="00000000" w:usb2="00000000" w:usb3="00000000" w:csb0="00000000" w:csb1="00000000"/>
  </w:font>
  <w:font w:name="GENISO">
    <w:panose1 w:val="02000400000000000000"/>
    <w:charset w:val="00"/>
    <w:family w:val="auto"/>
    <w:pitch w:val="default"/>
    <w:sig w:usb0="00000003" w:usb1="00000000" w:usb2="00000040" w:usb3="00000000" w:csb0="000001FF"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ind w:firstLine="360"/>
      <w:jc w:val="center"/>
      <w:rPr>
        <w:rStyle w:val="57"/>
        <w:rFonts w:hint="eastAsia"/>
      </w:rPr>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343535" cy="317500"/>
              <wp:effectExtent l="0" t="0" r="0" b="0"/>
              <wp:wrapNone/>
              <wp:docPr id="108" name="文本框 2071"/>
              <wp:cNvGraphicFramePr/>
              <a:graphic xmlns:a="http://schemas.openxmlformats.org/drawingml/2006/main">
                <a:graphicData uri="http://schemas.microsoft.com/office/word/2010/wordprocessingShape">
                  <wps:wsp>
                    <wps:cNvSpPr txBox="1"/>
                    <wps:spPr>
                      <a:xfrm>
                        <a:off x="0" y="0"/>
                        <a:ext cx="343535" cy="317500"/>
                      </a:xfrm>
                      <a:prstGeom prst="rect">
                        <a:avLst/>
                      </a:prstGeom>
                      <a:noFill/>
                      <a:ln w="9525">
                        <a:noFill/>
                      </a:ln>
                    </wps:spPr>
                    <wps:txbx>
                      <w:txbxContent>
                        <w:p>
                          <w:pPr>
                            <w:pStyle w:val="30"/>
                            <w:ind w:firstLine="360"/>
                            <w:rPr>
                              <w:rStyle w:val="57"/>
                              <w:rFonts w:hint="eastAsia"/>
                            </w:rPr>
                          </w:pPr>
                        </w:p>
                      </w:txbxContent>
                    </wps:txbx>
                    <wps:bodyPr wrap="none" lIns="0" tIns="0" rIns="0" bIns="0" upright="0">
                      <a:spAutoFit/>
                    </wps:bodyPr>
                  </wps:wsp>
                </a:graphicData>
              </a:graphic>
            </wp:anchor>
          </w:drawing>
        </mc:Choice>
        <mc:Fallback>
          <w:pict>
            <v:shape id="文本框 2071" o:spid="_x0000_s1026" o:spt="202" type="#_x0000_t202" style="position:absolute;left:0pt;margin-top:0pt;height:25pt;width:27.05pt;mso-position-horizontal:center;mso-position-horizontal-relative:margin;mso-wrap-style:none;z-index:251664384;mso-width-relative:page;mso-height-relative:page;" filled="f" stroked="f" coordsize="21600,21600" o:gfxdata="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B2WsTbQAAAAAwEAAA8AAAAAAAAAAQAgAAAAIgAAAGRycy9kb3ducmV2LnhtbFBLAQIUABQA&#10;AAAIAIdO4kBO90cfvwEAAFcDAAAOAAAAAAAAAAEAIAAAAB8BAABkcnMvZTJvRG9jLnhtbFBLBQYA&#10;AAAABgAGAFkBAABQBQAAAAA=&#10;">
              <v:fill on="f" focussize="0,0"/>
              <v:stroke on="f"/>
              <v:imagedata o:title=""/>
              <o:lock v:ext="edit" aspectratio="f"/>
              <v:textbox inset="0mm,0mm,0mm,0mm" style="mso-fit-shape-to-text:t;">
                <w:txbxContent>
                  <w:p>
                    <w:pPr>
                      <w:pStyle w:val="30"/>
                      <w:ind w:firstLine="360"/>
                      <w:rPr>
                        <w:rStyle w:val="57"/>
                        <w:rFonts w:hint="eastAsia"/>
                      </w:rPr>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ind w:firstLine="360"/>
      <w:jc w:val="cente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napToGrid w:val="0"/>
                            <w:rPr>
                              <w:rFonts w:hint="eastAsia" w:eastAsia="宋体"/>
                              <w:sz w:val="18"/>
                              <w:lang w:eastAsia="zh-CN"/>
                            </w:rPr>
                          </w:pP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rFonts w:hint="eastAsia"/>
                              <w:sz w:val="18"/>
                              <w:lang w:eastAsia="zh-CN"/>
                            </w:rPr>
                            <w:t>1</w:t>
                          </w:r>
                          <w:r>
                            <w:rPr>
                              <w:rFonts w:hint="eastAsia"/>
                              <w:sz w:val="18"/>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XtCZFRQCAAATBAAADgAAAAAAAAAB&#10;ACAAAAAfAQAAZHJzL2Uyb0RvYy54bWxQSwUGAAAAAAYABgBZAQAApQUAAAAA&#10;">
              <v:fill on="f" focussize="0,0"/>
              <v:stroke on="f" weight="0.5pt"/>
              <v:imagedata o:title=""/>
              <o:lock v:ext="edit" aspectratio="f"/>
              <v:textbox inset="0mm,0mm,0mm,0mm" style="mso-fit-shape-to-text:t;">
                <w:txbxContent>
                  <w:p>
                    <w:pPr>
                      <w:snapToGrid w:val="0"/>
                      <w:rPr>
                        <w:rFonts w:hint="eastAsia" w:eastAsia="宋体"/>
                        <w:sz w:val="18"/>
                        <w:lang w:eastAsia="zh-CN"/>
                      </w:rPr>
                    </w:pP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rFonts w:hint="eastAsia"/>
                        <w:sz w:val="18"/>
                        <w:lang w:eastAsia="zh-CN"/>
                      </w:rPr>
                      <w:t>1</w:t>
                    </w:r>
                    <w:r>
                      <w:rPr>
                        <w:rFonts w:hint="eastAsia"/>
                        <w:sz w:val="18"/>
                        <w:lang w:eastAsia="zh-CN"/>
                      </w:rPr>
                      <w:fldChar w:fldCharType="end"/>
                    </w:r>
                  </w:p>
                </w:txbxContent>
              </v:textbox>
            </v:shape>
          </w:pict>
        </mc:Fallback>
      </mc:AlternateContent>
    </w:r>
  </w:p>
  <w:p>
    <w:pPr>
      <w:ind w:firstLine="48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ind w:firstLine="360"/>
      <w:jc w:val="cente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napToGrid w:val="0"/>
                            <w:rPr>
                              <w:rFonts w:hint="eastAsia" w:eastAsia="宋体"/>
                              <w:sz w:val="18"/>
                              <w:lang w:eastAsia="zh-CN"/>
                            </w:rPr>
                          </w:pP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rFonts w:hint="eastAsia"/>
                              <w:sz w:val="18"/>
                              <w:lang w:eastAsia="zh-CN"/>
                            </w:rPr>
                            <w:t>5</w:t>
                          </w:r>
                          <w:r>
                            <w:rPr>
                              <w:rFonts w:hint="eastAsia"/>
                              <w:sz w:val="18"/>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rbzf8SAgAAEw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0lY7tAAAAAFAQAADwAAAAAAAAABACAAAAAi&#10;AAAAZHJzL2Rvd25yZXYueG1sUEsBAhQAFAAAAAgAh07iQErbzf8SAgAAEwQAAA4AAAAAAAAAAQAg&#10;AAAAHwEAAGRycy9lMm9Eb2MueG1sUEsFBgAAAAAGAAYAWQEAAKMFAAAAAA==&#10;">
              <v:fill on="f" focussize="0,0"/>
              <v:stroke on="f" weight="0.5pt"/>
              <v:imagedata o:title=""/>
              <o:lock v:ext="edit" aspectratio="f"/>
              <v:textbox inset="0mm,0mm,0mm,0mm" style="mso-fit-shape-to-text:t;">
                <w:txbxContent>
                  <w:p>
                    <w:pPr>
                      <w:snapToGrid w:val="0"/>
                      <w:rPr>
                        <w:rFonts w:hint="eastAsia" w:eastAsia="宋体"/>
                        <w:sz w:val="18"/>
                        <w:lang w:eastAsia="zh-CN"/>
                      </w:rPr>
                    </w:pP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rFonts w:hint="eastAsia"/>
                        <w:sz w:val="18"/>
                        <w:lang w:eastAsia="zh-CN"/>
                      </w:rPr>
                      <w:t>5</w:t>
                    </w:r>
                    <w:r>
                      <w:rPr>
                        <w:rFonts w:hint="eastAsia"/>
                        <w:sz w:val="18"/>
                        <w:lang w:eastAsia="zh-CN"/>
                      </w:rPr>
                      <w:fldChar w:fldCharType="end"/>
                    </w:r>
                  </w:p>
                </w:txbxContent>
              </v:textbox>
            </v:shape>
          </w:pict>
        </mc:Fallback>
      </mc:AlternateContent>
    </w:r>
  </w:p>
  <w:p>
    <w:pPr>
      <w:ind w:firstLine="48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ind w:right="360" w:firstLine="360"/>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napToGrid w:val="0"/>
                            <w:rPr>
                              <w:rFonts w:hint="eastAsia" w:eastAsia="宋体"/>
                              <w:sz w:val="18"/>
                              <w:lang w:eastAsia="zh-CN"/>
                            </w:rPr>
                          </w:pP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rFonts w:hint="eastAsia"/>
                              <w:sz w:val="18"/>
                              <w:lang w:eastAsia="zh-CN"/>
                            </w:rPr>
                            <w:t>1</w:t>
                          </w:r>
                          <w:r>
                            <w:rPr>
                              <w:rFonts w:hint="eastAsia"/>
                              <w:sz w:val="18"/>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NJWO7QAAAABQEAAA8AAAAAAAAAAQAgAAAA&#10;IgAAAGRycy9kb3ducmV2LnhtbFBLAQIUABQAAAAIAIdO4kAF3HKwEwIAABMEAAAOAAAAAAAAAAEA&#10;IAAAAB8BAABkcnMvZTJvRG9jLnhtbFBLBQYAAAAABgAGAFkBAACkBQAAAAA=&#10;">
              <v:fill on="f" focussize="0,0"/>
              <v:stroke on="f" weight="0.5pt"/>
              <v:imagedata o:title=""/>
              <o:lock v:ext="edit" aspectratio="f"/>
              <v:textbox inset="0mm,0mm,0mm,0mm" style="mso-fit-shape-to-text:t;">
                <w:txbxContent>
                  <w:p>
                    <w:pPr>
                      <w:snapToGrid w:val="0"/>
                      <w:rPr>
                        <w:rFonts w:hint="eastAsia" w:eastAsia="宋体"/>
                        <w:sz w:val="18"/>
                        <w:lang w:eastAsia="zh-CN"/>
                      </w:rPr>
                    </w:pP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rFonts w:hint="eastAsia"/>
                        <w:sz w:val="18"/>
                        <w:lang w:eastAsia="zh-CN"/>
                      </w:rPr>
                      <w:t>1</w:t>
                    </w:r>
                    <w:r>
                      <w:rPr>
                        <w:rFonts w:hint="eastAsia"/>
                        <w:sz w:val="18"/>
                        <w:lang w:eastAsia="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ind w:right="360" w:firstLine="360"/>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napToGrid w:val="0"/>
                            <w:rPr>
                              <w:rFonts w:hint="eastAsia" w:eastAsia="宋体"/>
                              <w:sz w:val="18"/>
                              <w:lang w:eastAsia="zh-CN"/>
                            </w:rPr>
                          </w:pP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rFonts w:hint="eastAsia"/>
                              <w:sz w:val="18"/>
                              <w:lang w:eastAsia="zh-CN"/>
                            </w:rPr>
                            <w:t>42</w:t>
                          </w:r>
                          <w:r>
                            <w:rPr>
                              <w:rFonts w:hint="eastAsia"/>
                              <w:sz w:val="18"/>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wN7nihQCAAATBAAADgAAAAAAAAAB&#10;ACAAAAAfAQAAZHJzL2Uyb0RvYy54bWxQSwUGAAAAAAYABgBZAQAApQUAAAAA&#10;">
              <v:fill on="f" focussize="0,0"/>
              <v:stroke on="f" weight="0.5pt"/>
              <v:imagedata o:title=""/>
              <o:lock v:ext="edit" aspectratio="f"/>
              <v:textbox inset="0mm,0mm,0mm,0mm" style="mso-fit-shape-to-text:t;">
                <w:txbxContent>
                  <w:p>
                    <w:pPr>
                      <w:snapToGrid w:val="0"/>
                      <w:rPr>
                        <w:rFonts w:hint="eastAsia" w:eastAsia="宋体"/>
                        <w:sz w:val="18"/>
                        <w:lang w:eastAsia="zh-CN"/>
                      </w:rPr>
                    </w:pP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rFonts w:hint="eastAsia"/>
                        <w:sz w:val="18"/>
                        <w:lang w:eastAsia="zh-CN"/>
                      </w:rPr>
                      <w:t>42</w:t>
                    </w:r>
                    <w:r>
                      <w:rPr>
                        <w:rFonts w:hint="eastAsia"/>
                        <w:sz w:val="18"/>
                        <w:lang w:eastAsia="zh-CN"/>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ind w:firstLine="360"/>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napToGrid w:val="0"/>
                            <w:rPr>
                              <w:rFonts w:hint="eastAsia" w:eastAsia="宋体"/>
                              <w:sz w:val="18"/>
                              <w:lang w:eastAsia="zh-CN"/>
                            </w:rPr>
                          </w:pP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rFonts w:hint="eastAsia"/>
                              <w:sz w:val="18"/>
                              <w:lang w:eastAsia="zh-CN"/>
                            </w:rPr>
                            <w:t>87</w:t>
                          </w:r>
                          <w:r>
                            <w:rPr>
                              <w:rFonts w:hint="eastAsia"/>
                              <w:sz w:val="18"/>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JvSDC8VAgAAEwQAAA4AAAAAAAAA&#10;AQAgAAAAHwEAAGRycy9lMm9Eb2MueG1sUEsFBgAAAAAGAAYAWQEAAKYFAAAAAA==&#10;">
              <v:fill on="f" focussize="0,0"/>
              <v:stroke on="f" weight="0.5pt"/>
              <v:imagedata o:title=""/>
              <o:lock v:ext="edit" aspectratio="f"/>
              <v:textbox inset="0mm,0mm,0mm,0mm" style="mso-fit-shape-to-text:t;">
                <w:txbxContent>
                  <w:p>
                    <w:pPr>
                      <w:snapToGrid w:val="0"/>
                      <w:rPr>
                        <w:rFonts w:hint="eastAsia" w:eastAsia="宋体"/>
                        <w:sz w:val="18"/>
                        <w:lang w:eastAsia="zh-CN"/>
                      </w:rPr>
                    </w:pP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rFonts w:hint="eastAsia"/>
                        <w:sz w:val="18"/>
                        <w:lang w:eastAsia="zh-CN"/>
                      </w:rPr>
                      <w:t>87</w:t>
                    </w:r>
                    <w:r>
                      <w:rPr>
                        <w:rFonts w:hint="eastAsia"/>
                        <w:sz w:val="18"/>
                        <w:lang w:eastAsia="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ind w:firstLine="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0" w:leftChars="0"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1"/>
      <w:pBdr>
        <w:bottom w:val="none" w:color="auto" w:sz="0" w:space="0"/>
      </w:pBdr>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1"/>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1"/>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B98D34C"/>
    <w:multiLevelType w:val="singleLevel"/>
    <w:tmpl w:val="EB98D34C"/>
    <w:lvl w:ilvl="0" w:tentative="0">
      <w:start w:val="6"/>
      <w:numFmt w:val="decimal"/>
      <w:suff w:val="nothing"/>
      <w:lvlText w:val="（%1）"/>
      <w:lvlJc w:val="left"/>
    </w:lvl>
  </w:abstractNum>
  <w:abstractNum w:abstractNumId="1">
    <w:nsid w:val="3D442237"/>
    <w:multiLevelType w:val="multilevel"/>
    <w:tmpl w:val="3D442237"/>
    <w:lvl w:ilvl="0" w:tentative="0">
      <w:start w:val="1"/>
      <w:numFmt w:val="decimal"/>
      <w:pStyle w:val="265"/>
      <w:lvlText w:val="%1."/>
      <w:lvlJc w:val="left"/>
      <w:pPr>
        <w:ind w:left="0"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tentative="0">
      <w:start w:val="1"/>
      <w:numFmt w:val="decimal"/>
      <w:pStyle w:val="266"/>
      <w:lvlText w:val="%1.%2"/>
      <w:lvlJc w:val="left"/>
      <w:pPr>
        <w:tabs>
          <w:tab w:val="left" w:pos="567"/>
        </w:tabs>
        <w:ind w:left="567" w:hanging="567"/>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2" w:tentative="0">
      <w:start w:val="1"/>
      <w:numFmt w:val="decimal"/>
      <w:pStyle w:val="267"/>
      <w:lvlText w:val="%1.%2.%3"/>
      <w:lvlJc w:val="left"/>
      <w:pPr>
        <w:tabs>
          <w:tab w:val="left" w:pos="851"/>
        </w:tabs>
        <w:ind w:left="0" w:firstLine="0"/>
      </w:pPr>
      <w:rPr>
        <w:rFonts w:hint="eastAsia"/>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tentative="0">
      <w:start w:val="1"/>
      <w:numFmt w:val="decimal"/>
      <w:pStyle w:val="268"/>
      <w:lvlText w:val="%1.%2.%3.%4"/>
      <w:lvlJc w:val="left"/>
      <w:pPr>
        <w:tabs>
          <w:tab w:val="left" w:pos="851"/>
        </w:tabs>
        <w:ind w:left="0" w:firstLine="0"/>
      </w:pPr>
      <w:rPr>
        <w:rFonts w:hint="default" w:ascii="Times New Roman" w:hAnsi="Times New Roman" w:eastAsia="宋体" w:cs="Times New Roman"/>
        <w:b/>
        <w:bCs w:val="0"/>
        <w:i w:val="0"/>
        <w:iCs w:val="0"/>
        <w:caps w:val="0"/>
        <w:smallCaps w:val="0"/>
        <w:strike w:val="0"/>
        <w:dstrike w:val="0"/>
        <w:vanish w:val="0"/>
        <w:color w:val="000000"/>
        <w:spacing w:val="0"/>
        <w:position w:val="0"/>
        <w:sz w:val="24"/>
        <w:u w:val="none"/>
        <w:vertAlign w:val="baseline"/>
        <w14:shadow w14:blurRad="0" w14:dist="0" w14:dir="0" w14:sx="0" w14:sy="0" w14:kx="0" w14:ky="0" w14:algn="none">
          <w14:srgbClr w14:val="000000"/>
        </w14:shadow>
      </w:rPr>
    </w:lvl>
    <w:lvl w:ilvl="4" w:tentative="0">
      <w:start w:val="1"/>
      <w:numFmt w:val="decimal"/>
      <w:lvlRestart w:val="2"/>
      <w:pStyle w:val="264"/>
      <w:lvlText w:val="表 %1.%5  "/>
      <w:lvlJc w:val="center"/>
      <w:pPr>
        <w:ind w:left="1696" w:hanging="278"/>
      </w:pPr>
      <w:rPr>
        <w:rFonts w:hint="default" w:ascii="Times New Roman" w:hAnsi="Times New Roman" w:eastAsia="宋体"/>
        <w:b/>
        <w:i w:val="0"/>
        <w:sz w:val="21"/>
      </w:rPr>
    </w:lvl>
    <w:lvl w:ilvl="5" w:tentative="0">
      <w:start w:val="1"/>
      <w:numFmt w:val="decimal"/>
      <w:lvlRestart w:val="1"/>
      <w:pStyle w:val="263"/>
      <w:lvlText w:val="图 %1.%6  "/>
      <w:lvlJc w:val="center"/>
      <w:pPr>
        <w:ind w:left="2547" w:firstLine="288"/>
      </w:pPr>
      <w:rPr>
        <w:rFonts w:hint="default" w:ascii="Times New Roman" w:hAnsi="Times New Roman" w:eastAsia="宋体" w:cs="Times New Roman"/>
        <w:b/>
        <w:bCs w:val="0"/>
        <w:i w:val="0"/>
        <w:iCs w:val="0"/>
        <w:caps w:val="0"/>
        <w:smallCaps w:val="0"/>
        <w:strike w:val="0"/>
        <w:dstrike w:val="0"/>
        <w:vanish w:val="0"/>
        <w:color w:val="000000"/>
        <w:spacing w:val="0"/>
        <w:kern w:val="0"/>
        <w:position w:val="0"/>
        <w:sz w:val="21"/>
        <w:u w:val="none"/>
        <w:vertAlign w:val="baseline"/>
        <w14:shadow w14:blurRad="0" w14:dist="0" w14:dir="0" w14:sx="0" w14:sy="0" w14:kx="0" w14:ky="0" w14:algn="none">
          <w14:srgbClr w14:val="000000"/>
        </w14:shadow>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2">
    <w:nsid w:val="62F5D1AF"/>
    <w:multiLevelType w:val="singleLevel"/>
    <w:tmpl w:val="62F5D1AF"/>
    <w:lvl w:ilvl="0" w:tentative="0">
      <w:start w:val="7"/>
      <w:numFmt w:val="decimal"/>
      <w:suff w:val="nothing"/>
      <w:lvlText w:val="（%1）"/>
      <w:lvlJc w:val="left"/>
    </w:lvl>
  </w:abstractNum>
  <w:abstractNum w:abstractNumId="3">
    <w:nsid w:val="70D4DF4D"/>
    <w:multiLevelType w:val="singleLevel"/>
    <w:tmpl w:val="70D4DF4D"/>
    <w:lvl w:ilvl="0" w:tentative="0">
      <w:start w:val="4"/>
      <w:numFmt w:val="decimal"/>
      <w:suff w:val="nothing"/>
      <w:lvlText w:val="（%1）"/>
      <w:lvlJc w:val="left"/>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0"/>
  <w:bordersDoNotSurroundFooter w:val="0"/>
  <w:hideSpellingErrors/>
  <w:hideGrammaticalErrors/>
  <w:documentProtection w:enforcement="0"/>
  <w:defaultTabStop w:val="420"/>
  <w:drawingGridHorizontalSpacing w:val="120"/>
  <w:drawingGridVerticalSpacing w:val="163"/>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MwN2YzNTM5ZmNkYjJlNjQxMDI3ODU4Y2JmOTQ3NTUifQ=="/>
  </w:docVars>
  <w:rsids>
    <w:rsidRoot w:val="00172A27"/>
    <w:rsid w:val="0000084B"/>
    <w:rsid w:val="00001233"/>
    <w:rsid w:val="00001E03"/>
    <w:rsid w:val="000020AE"/>
    <w:rsid w:val="000021C8"/>
    <w:rsid w:val="00003EA6"/>
    <w:rsid w:val="000055D8"/>
    <w:rsid w:val="0000622B"/>
    <w:rsid w:val="000062EF"/>
    <w:rsid w:val="00006C67"/>
    <w:rsid w:val="00006F8D"/>
    <w:rsid w:val="00007647"/>
    <w:rsid w:val="000079C6"/>
    <w:rsid w:val="00010070"/>
    <w:rsid w:val="00010394"/>
    <w:rsid w:val="00010E57"/>
    <w:rsid w:val="00011864"/>
    <w:rsid w:val="00011C8B"/>
    <w:rsid w:val="000121CE"/>
    <w:rsid w:val="000124D3"/>
    <w:rsid w:val="00012842"/>
    <w:rsid w:val="0001299A"/>
    <w:rsid w:val="00012D90"/>
    <w:rsid w:val="000132D7"/>
    <w:rsid w:val="00013E71"/>
    <w:rsid w:val="0001415C"/>
    <w:rsid w:val="000145FE"/>
    <w:rsid w:val="00014B88"/>
    <w:rsid w:val="000153C1"/>
    <w:rsid w:val="0001599F"/>
    <w:rsid w:val="00015F4B"/>
    <w:rsid w:val="0001651F"/>
    <w:rsid w:val="000173FC"/>
    <w:rsid w:val="0001740D"/>
    <w:rsid w:val="00017965"/>
    <w:rsid w:val="00017E88"/>
    <w:rsid w:val="00017E8B"/>
    <w:rsid w:val="00017FFA"/>
    <w:rsid w:val="000204F8"/>
    <w:rsid w:val="00021E07"/>
    <w:rsid w:val="00022D2F"/>
    <w:rsid w:val="000238BD"/>
    <w:rsid w:val="00023E1F"/>
    <w:rsid w:val="000241DE"/>
    <w:rsid w:val="00025EF6"/>
    <w:rsid w:val="000264C5"/>
    <w:rsid w:val="000264CE"/>
    <w:rsid w:val="0003228A"/>
    <w:rsid w:val="0003255C"/>
    <w:rsid w:val="00032D2C"/>
    <w:rsid w:val="00032DB3"/>
    <w:rsid w:val="00034028"/>
    <w:rsid w:val="0003449A"/>
    <w:rsid w:val="00034A29"/>
    <w:rsid w:val="00034AB7"/>
    <w:rsid w:val="00035C34"/>
    <w:rsid w:val="00036736"/>
    <w:rsid w:val="000370A3"/>
    <w:rsid w:val="000373BD"/>
    <w:rsid w:val="0003759E"/>
    <w:rsid w:val="0004012D"/>
    <w:rsid w:val="000401B4"/>
    <w:rsid w:val="0004022B"/>
    <w:rsid w:val="00040C02"/>
    <w:rsid w:val="000415BA"/>
    <w:rsid w:val="000415ED"/>
    <w:rsid w:val="00041B00"/>
    <w:rsid w:val="00041BA5"/>
    <w:rsid w:val="000446C2"/>
    <w:rsid w:val="0004650A"/>
    <w:rsid w:val="00050420"/>
    <w:rsid w:val="00050E09"/>
    <w:rsid w:val="0005100E"/>
    <w:rsid w:val="00051608"/>
    <w:rsid w:val="00051A21"/>
    <w:rsid w:val="00051BF9"/>
    <w:rsid w:val="00051D57"/>
    <w:rsid w:val="00051F53"/>
    <w:rsid w:val="0005299B"/>
    <w:rsid w:val="00053540"/>
    <w:rsid w:val="000539AD"/>
    <w:rsid w:val="0005510F"/>
    <w:rsid w:val="000557A3"/>
    <w:rsid w:val="00055B81"/>
    <w:rsid w:val="0005626B"/>
    <w:rsid w:val="00057029"/>
    <w:rsid w:val="00060289"/>
    <w:rsid w:val="000606C2"/>
    <w:rsid w:val="00060992"/>
    <w:rsid w:val="00060A36"/>
    <w:rsid w:val="000611AF"/>
    <w:rsid w:val="000614F4"/>
    <w:rsid w:val="0006179C"/>
    <w:rsid w:val="0006197D"/>
    <w:rsid w:val="00061B0B"/>
    <w:rsid w:val="000620A8"/>
    <w:rsid w:val="000620CF"/>
    <w:rsid w:val="0006288C"/>
    <w:rsid w:val="0006328E"/>
    <w:rsid w:val="00063B36"/>
    <w:rsid w:val="000641FF"/>
    <w:rsid w:val="0006438A"/>
    <w:rsid w:val="000660BC"/>
    <w:rsid w:val="00066D89"/>
    <w:rsid w:val="000672AB"/>
    <w:rsid w:val="000676D4"/>
    <w:rsid w:val="000676F2"/>
    <w:rsid w:val="00070059"/>
    <w:rsid w:val="00070CCF"/>
    <w:rsid w:val="00072BEE"/>
    <w:rsid w:val="00073296"/>
    <w:rsid w:val="000735DE"/>
    <w:rsid w:val="000738CE"/>
    <w:rsid w:val="00073DF2"/>
    <w:rsid w:val="000748FA"/>
    <w:rsid w:val="00074DB9"/>
    <w:rsid w:val="00075377"/>
    <w:rsid w:val="00076215"/>
    <w:rsid w:val="0007661A"/>
    <w:rsid w:val="00077977"/>
    <w:rsid w:val="00077CAC"/>
    <w:rsid w:val="00077D08"/>
    <w:rsid w:val="00077F9C"/>
    <w:rsid w:val="00080A37"/>
    <w:rsid w:val="00080FCD"/>
    <w:rsid w:val="00081745"/>
    <w:rsid w:val="00081791"/>
    <w:rsid w:val="00081B60"/>
    <w:rsid w:val="000824C9"/>
    <w:rsid w:val="000830B1"/>
    <w:rsid w:val="000839F5"/>
    <w:rsid w:val="00083D52"/>
    <w:rsid w:val="00083FA0"/>
    <w:rsid w:val="00084B69"/>
    <w:rsid w:val="0008501E"/>
    <w:rsid w:val="000852D9"/>
    <w:rsid w:val="00085B7E"/>
    <w:rsid w:val="00086FE3"/>
    <w:rsid w:val="00087F89"/>
    <w:rsid w:val="000905E2"/>
    <w:rsid w:val="00090641"/>
    <w:rsid w:val="00090812"/>
    <w:rsid w:val="000908A2"/>
    <w:rsid w:val="00090EF3"/>
    <w:rsid w:val="000916C5"/>
    <w:rsid w:val="00091CF6"/>
    <w:rsid w:val="00091F1E"/>
    <w:rsid w:val="00092B50"/>
    <w:rsid w:val="00092EA0"/>
    <w:rsid w:val="00093576"/>
    <w:rsid w:val="00093D0A"/>
    <w:rsid w:val="00094827"/>
    <w:rsid w:val="00094D35"/>
    <w:rsid w:val="00095280"/>
    <w:rsid w:val="000956F2"/>
    <w:rsid w:val="00095AFC"/>
    <w:rsid w:val="00096534"/>
    <w:rsid w:val="00096E54"/>
    <w:rsid w:val="000976AB"/>
    <w:rsid w:val="00097EDE"/>
    <w:rsid w:val="000A0F23"/>
    <w:rsid w:val="000A0F77"/>
    <w:rsid w:val="000A1952"/>
    <w:rsid w:val="000A27C4"/>
    <w:rsid w:val="000A349D"/>
    <w:rsid w:val="000A3B6D"/>
    <w:rsid w:val="000A43F2"/>
    <w:rsid w:val="000A526F"/>
    <w:rsid w:val="000A5847"/>
    <w:rsid w:val="000A73A9"/>
    <w:rsid w:val="000A7D58"/>
    <w:rsid w:val="000A7F34"/>
    <w:rsid w:val="000B0A3E"/>
    <w:rsid w:val="000B11AA"/>
    <w:rsid w:val="000B1CF8"/>
    <w:rsid w:val="000B1ECA"/>
    <w:rsid w:val="000B286F"/>
    <w:rsid w:val="000B2C0B"/>
    <w:rsid w:val="000B2C99"/>
    <w:rsid w:val="000B32D6"/>
    <w:rsid w:val="000B32DC"/>
    <w:rsid w:val="000B3501"/>
    <w:rsid w:val="000B380C"/>
    <w:rsid w:val="000B3965"/>
    <w:rsid w:val="000B3B1B"/>
    <w:rsid w:val="000B53B7"/>
    <w:rsid w:val="000C10D0"/>
    <w:rsid w:val="000C1510"/>
    <w:rsid w:val="000C15AC"/>
    <w:rsid w:val="000C1F37"/>
    <w:rsid w:val="000C32F8"/>
    <w:rsid w:val="000C3310"/>
    <w:rsid w:val="000C3EDB"/>
    <w:rsid w:val="000C5113"/>
    <w:rsid w:val="000C5BEC"/>
    <w:rsid w:val="000C63A0"/>
    <w:rsid w:val="000C66F5"/>
    <w:rsid w:val="000C79DA"/>
    <w:rsid w:val="000D05FE"/>
    <w:rsid w:val="000D0C2A"/>
    <w:rsid w:val="000D0D4B"/>
    <w:rsid w:val="000D184C"/>
    <w:rsid w:val="000D2586"/>
    <w:rsid w:val="000D36AA"/>
    <w:rsid w:val="000D3B9D"/>
    <w:rsid w:val="000D462E"/>
    <w:rsid w:val="000D4A8C"/>
    <w:rsid w:val="000D56E7"/>
    <w:rsid w:val="000D5A69"/>
    <w:rsid w:val="000D5DAF"/>
    <w:rsid w:val="000D7764"/>
    <w:rsid w:val="000E0127"/>
    <w:rsid w:val="000E05C6"/>
    <w:rsid w:val="000E0BC1"/>
    <w:rsid w:val="000E13C7"/>
    <w:rsid w:val="000E1760"/>
    <w:rsid w:val="000E221F"/>
    <w:rsid w:val="000E252F"/>
    <w:rsid w:val="000E268A"/>
    <w:rsid w:val="000E39B3"/>
    <w:rsid w:val="000E3F04"/>
    <w:rsid w:val="000E437A"/>
    <w:rsid w:val="000E4933"/>
    <w:rsid w:val="000E57D8"/>
    <w:rsid w:val="000E73D8"/>
    <w:rsid w:val="000F00D0"/>
    <w:rsid w:val="000F1431"/>
    <w:rsid w:val="000F25FF"/>
    <w:rsid w:val="000F28D5"/>
    <w:rsid w:val="000F4022"/>
    <w:rsid w:val="000F59CC"/>
    <w:rsid w:val="000F5D07"/>
    <w:rsid w:val="000F5F8A"/>
    <w:rsid w:val="000F654B"/>
    <w:rsid w:val="000F66EC"/>
    <w:rsid w:val="0010034F"/>
    <w:rsid w:val="0010058E"/>
    <w:rsid w:val="00100D61"/>
    <w:rsid w:val="00100EDA"/>
    <w:rsid w:val="00100EE5"/>
    <w:rsid w:val="0010213D"/>
    <w:rsid w:val="00102962"/>
    <w:rsid w:val="00102A25"/>
    <w:rsid w:val="001039E8"/>
    <w:rsid w:val="001048D1"/>
    <w:rsid w:val="00104F99"/>
    <w:rsid w:val="00106457"/>
    <w:rsid w:val="00106746"/>
    <w:rsid w:val="00106E28"/>
    <w:rsid w:val="00106EB0"/>
    <w:rsid w:val="001071E4"/>
    <w:rsid w:val="0010734B"/>
    <w:rsid w:val="00107500"/>
    <w:rsid w:val="00107A77"/>
    <w:rsid w:val="00107B60"/>
    <w:rsid w:val="00107DB8"/>
    <w:rsid w:val="001112DC"/>
    <w:rsid w:val="00112342"/>
    <w:rsid w:val="0011257C"/>
    <w:rsid w:val="00113206"/>
    <w:rsid w:val="00113274"/>
    <w:rsid w:val="001137F9"/>
    <w:rsid w:val="00114231"/>
    <w:rsid w:val="001146E2"/>
    <w:rsid w:val="00115D37"/>
    <w:rsid w:val="00117107"/>
    <w:rsid w:val="0011762C"/>
    <w:rsid w:val="001208D0"/>
    <w:rsid w:val="00120C6E"/>
    <w:rsid w:val="00120E63"/>
    <w:rsid w:val="00122841"/>
    <w:rsid w:val="001231C5"/>
    <w:rsid w:val="00123366"/>
    <w:rsid w:val="0012352E"/>
    <w:rsid w:val="00123689"/>
    <w:rsid w:val="00124648"/>
    <w:rsid w:val="00124868"/>
    <w:rsid w:val="00124D3E"/>
    <w:rsid w:val="001252E2"/>
    <w:rsid w:val="00126146"/>
    <w:rsid w:val="001264FC"/>
    <w:rsid w:val="00126A71"/>
    <w:rsid w:val="00127614"/>
    <w:rsid w:val="00127761"/>
    <w:rsid w:val="00127C82"/>
    <w:rsid w:val="00127EAD"/>
    <w:rsid w:val="00127F8B"/>
    <w:rsid w:val="00130358"/>
    <w:rsid w:val="0013051C"/>
    <w:rsid w:val="00130DF0"/>
    <w:rsid w:val="00131542"/>
    <w:rsid w:val="0013253F"/>
    <w:rsid w:val="001327DE"/>
    <w:rsid w:val="00132AAB"/>
    <w:rsid w:val="001333AD"/>
    <w:rsid w:val="00133667"/>
    <w:rsid w:val="00134F48"/>
    <w:rsid w:val="001352E3"/>
    <w:rsid w:val="001354F1"/>
    <w:rsid w:val="001357B7"/>
    <w:rsid w:val="00135CBE"/>
    <w:rsid w:val="00135F13"/>
    <w:rsid w:val="001362AF"/>
    <w:rsid w:val="0013680E"/>
    <w:rsid w:val="0014073E"/>
    <w:rsid w:val="00142C17"/>
    <w:rsid w:val="00143169"/>
    <w:rsid w:val="00143EBB"/>
    <w:rsid w:val="00143FE8"/>
    <w:rsid w:val="00144002"/>
    <w:rsid w:val="00144B79"/>
    <w:rsid w:val="00144E43"/>
    <w:rsid w:val="001450AE"/>
    <w:rsid w:val="00145497"/>
    <w:rsid w:val="001469A1"/>
    <w:rsid w:val="00146A6D"/>
    <w:rsid w:val="001514E3"/>
    <w:rsid w:val="00151CD6"/>
    <w:rsid w:val="00151F74"/>
    <w:rsid w:val="0015205D"/>
    <w:rsid w:val="001529E0"/>
    <w:rsid w:val="00152B1B"/>
    <w:rsid w:val="001533A2"/>
    <w:rsid w:val="00153658"/>
    <w:rsid w:val="00154947"/>
    <w:rsid w:val="00155526"/>
    <w:rsid w:val="00155549"/>
    <w:rsid w:val="001555D0"/>
    <w:rsid w:val="00155659"/>
    <w:rsid w:val="00155A20"/>
    <w:rsid w:val="00155C3D"/>
    <w:rsid w:val="00155F66"/>
    <w:rsid w:val="00156B44"/>
    <w:rsid w:val="00157067"/>
    <w:rsid w:val="00157A53"/>
    <w:rsid w:val="00157C96"/>
    <w:rsid w:val="001609F6"/>
    <w:rsid w:val="00160D12"/>
    <w:rsid w:val="001621EA"/>
    <w:rsid w:val="001623A9"/>
    <w:rsid w:val="00163746"/>
    <w:rsid w:val="00164D76"/>
    <w:rsid w:val="00164FCC"/>
    <w:rsid w:val="00165563"/>
    <w:rsid w:val="00165B9E"/>
    <w:rsid w:val="001668FA"/>
    <w:rsid w:val="00170757"/>
    <w:rsid w:val="001717CC"/>
    <w:rsid w:val="00171FBA"/>
    <w:rsid w:val="00172ECD"/>
    <w:rsid w:val="0017384C"/>
    <w:rsid w:val="0017418A"/>
    <w:rsid w:val="00174BDD"/>
    <w:rsid w:val="00174D23"/>
    <w:rsid w:val="001755ED"/>
    <w:rsid w:val="00175848"/>
    <w:rsid w:val="00175BB8"/>
    <w:rsid w:val="00175C3A"/>
    <w:rsid w:val="0017628E"/>
    <w:rsid w:val="001768B8"/>
    <w:rsid w:val="00176C32"/>
    <w:rsid w:val="0017706F"/>
    <w:rsid w:val="00177336"/>
    <w:rsid w:val="00177484"/>
    <w:rsid w:val="00177B1F"/>
    <w:rsid w:val="00177DCC"/>
    <w:rsid w:val="001800A8"/>
    <w:rsid w:val="0018042E"/>
    <w:rsid w:val="001812C0"/>
    <w:rsid w:val="0018269F"/>
    <w:rsid w:val="00182721"/>
    <w:rsid w:val="00183044"/>
    <w:rsid w:val="00184CA5"/>
    <w:rsid w:val="00186ED0"/>
    <w:rsid w:val="00187C4A"/>
    <w:rsid w:val="00187E26"/>
    <w:rsid w:val="00190546"/>
    <w:rsid w:val="00190A9C"/>
    <w:rsid w:val="00190B01"/>
    <w:rsid w:val="00190F4F"/>
    <w:rsid w:val="001914EF"/>
    <w:rsid w:val="00191B0F"/>
    <w:rsid w:val="00192A7F"/>
    <w:rsid w:val="00192D2A"/>
    <w:rsid w:val="00194372"/>
    <w:rsid w:val="001946E8"/>
    <w:rsid w:val="0019490F"/>
    <w:rsid w:val="0019576A"/>
    <w:rsid w:val="00195ED0"/>
    <w:rsid w:val="00196116"/>
    <w:rsid w:val="001967E0"/>
    <w:rsid w:val="0019798E"/>
    <w:rsid w:val="00197F19"/>
    <w:rsid w:val="001A0131"/>
    <w:rsid w:val="001A09A9"/>
    <w:rsid w:val="001A0C0C"/>
    <w:rsid w:val="001A1EDA"/>
    <w:rsid w:val="001A29DB"/>
    <w:rsid w:val="001A313B"/>
    <w:rsid w:val="001A3B54"/>
    <w:rsid w:val="001A4385"/>
    <w:rsid w:val="001A45CC"/>
    <w:rsid w:val="001A4810"/>
    <w:rsid w:val="001A5874"/>
    <w:rsid w:val="001A5A0E"/>
    <w:rsid w:val="001A6FF2"/>
    <w:rsid w:val="001A7762"/>
    <w:rsid w:val="001A7D4B"/>
    <w:rsid w:val="001A7F67"/>
    <w:rsid w:val="001B06A2"/>
    <w:rsid w:val="001B084F"/>
    <w:rsid w:val="001B0A4A"/>
    <w:rsid w:val="001B2224"/>
    <w:rsid w:val="001B2887"/>
    <w:rsid w:val="001B2B4B"/>
    <w:rsid w:val="001B2DA6"/>
    <w:rsid w:val="001B3111"/>
    <w:rsid w:val="001B3429"/>
    <w:rsid w:val="001B352C"/>
    <w:rsid w:val="001B3D41"/>
    <w:rsid w:val="001B4251"/>
    <w:rsid w:val="001B4503"/>
    <w:rsid w:val="001B4CE8"/>
    <w:rsid w:val="001B6C2D"/>
    <w:rsid w:val="001B74FE"/>
    <w:rsid w:val="001C117D"/>
    <w:rsid w:val="001C15ED"/>
    <w:rsid w:val="001C1B1D"/>
    <w:rsid w:val="001C2E36"/>
    <w:rsid w:val="001C2E8A"/>
    <w:rsid w:val="001C3768"/>
    <w:rsid w:val="001C56D4"/>
    <w:rsid w:val="001C5B83"/>
    <w:rsid w:val="001C6167"/>
    <w:rsid w:val="001C61EF"/>
    <w:rsid w:val="001C745E"/>
    <w:rsid w:val="001C7D85"/>
    <w:rsid w:val="001D004F"/>
    <w:rsid w:val="001D04A3"/>
    <w:rsid w:val="001D1AB7"/>
    <w:rsid w:val="001D1E3C"/>
    <w:rsid w:val="001D1EA2"/>
    <w:rsid w:val="001D2989"/>
    <w:rsid w:val="001D2A6E"/>
    <w:rsid w:val="001D2B13"/>
    <w:rsid w:val="001D3228"/>
    <w:rsid w:val="001D3928"/>
    <w:rsid w:val="001D4A4A"/>
    <w:rsid w:val="001D4D3A"/>
    <w:rsid w:val="001D5910"/>
    <w:rsid w:val="001D5CF8"/>
    <w:rsid w:val="001D6363"/>
    <w:rsid w:val="001D683D"/>
    <w:rsid w:val="001D6D8C"/>
    <w:rsid w:val="001E0E76"/>
    <w:rsid w:val="001E1160"/>
    <w:rsid w:val="001E25B1"/>
    <w:rsid w:val="001E327C"/>
    <w:rsid w:val="001E376F"/>
    <w:rsid w:val="001E4107"/>
    <w:rsid w:val="001E4568"/>
    <w:rsid w:val="001E4708"/>
    <w:rsid w:val="001E4C2D"/>
    <w:rsid w:val="001E509D"/>
    <w:rsid w:val="001E5165"/>
    <w:rsid w:val="001E6285"/>
    <w:rsid w:val="001E7A2E"/>
    <w:rsid w:val="001E7AC0"/>
    <w:rsid w:val="001E7D83"/>
    <w:rsid w:val="001F02C2"/>
    <w:rsid w:val="001F1298"/>
    <w:rsid w:val="001F1D6E"/>
    <w:rsid w:val="001F206D"/>
    <w:rsid w:val="001F33FB"/>
    <w:rsid w:val="001F3B61"/>
    <w:rsid w:val="001F48B4"/>
    <w:rsid w:val="001F48C9"/>
    <w:rsid w:val="001F5209"/>
    <w:rsid w:val="001F5B74"/>
    <w:rsid w:val="0020132E"/>
    <w:rsid w:val="002013C9"/>
    <w:rsid w:val="002035C8"/>
    <w:rsid w:val="002035F7"/>
    <w:rsid w:val="002036AE"/>
    <w:rsid w:val="00203ED2"/>
    <w:rsid w:val="0020490A"/>
    <w:rsid w:val="002057BB"/>
    <w:rsid w:val="00205998"/>
    <w:rsid w:val="00206070"/>
    <w:rsid w:val="00206913"/>
    <w:rsid w:val="00207195"/>
    <w:rsid w:val="00207A1B"/>
    <w:rsid w:val="00211ECE"/>
    <w:rsid w:val="0021292C"/>
    <w:rsid w:val="00214545"/>
    <w:rsid w:val="00214B3A"/>
    <w:rsid w:val="0021500C"/>
    <w:rsid w:val="002150C2"/>
    <w:rsid w:val="00215455"/>
    <w:rsid w:val="00215516"/>
    <w:rsid w:val="00215EE5"/>
    <w:rsid w:val="00216DCF"/>
    <w:rsid w:val="002174BB"/>
    <w:rsid w:val="002200AA"/>
    <w:rsid w:val="002209B4"/>
    <w:rsid w:val="00220CEA"/>
    <w:rsid w:val="00222AAB"/>
    <w:rsid w:val="00222D7B"/>
    <w:rsid w:val="0022334C"/>
    <w:rsid w:val="00223AA8"/>
    <w:rsid w:val="00223AB9"/>
    <w:rsid w:val="00224AE7"/>
    <w:rsid w:val="002250D3"/>
    <w:rsid w:val="00225A1C"/>
    <w:rsid w:val="00226C38"/>
    <w:rsid w:val="00226DEC"/>
    <w:rsid w:val="00226FD8"/>
    <w:rsid w:val="002273A3"/>
    <w:rsid w:val="0022740D"/>
    <w:rsid w:val="00230589"/>
    <w:rsid w:val="0023085C"/>
    <w:rsid w:val="00230A4E"/>
    <w:rsid w:val="00230B58"/>
    <w:rsid w:val="0023103F"/>
    <w:rsid w:val="002312A3"/>
    <w:rsid w:val="002313C2"/>
    <w:rsid w:val="00231EED"/>
    <w:rsid w:val="00232F6D"/>
    <w:rsid w:val="002351B9"/>
    <w:rsid w:val="00236DAB"/>
    <w:rsid w:val="00236F50"/>
    <w:rsid w:val="0023758E"/>
    <w:rsid w:val="00237674"/>
    <w:rsid w:val="002378E5"/>
    <w:rsid w:val="00240124"/>
    <w:rsid w:val="002402E8"/>
    <w:rsid w:val="002410CB"/>
    <w:rsid w:val="00241B3E"/>
    <w:rsid w:val="00241B77"/>
    <w:rsid w:val="00242048"/>
    <w:rsid w:val="00242313"/>
    <w:rsid w:val="0024253F"/>
    <w:rsid w:val="00242FEA"/>
    <w:rsid w:val="002438B0"/>
    <w:rsid w:val="002452AB"/>
    <w:rsid w:val="00246CEB"/>
    <w:rsid w:val="002500D6"/>
    <w:rsid w:val="002506CD"/>
    <w:rsid w:val="0025186F"/>
    <w:rsid w:val="00251B45"/>
    <w:rsid w:val="00251DCC"/>
    <w:rsid w:val="00252502"/>
    <w:rsid w:val="002537F7"/>
    <w:rsid w:val="00253831"/>
    <w:rsid w:val="002539E9"/>
    <w:rsid w:val="00254697"/>
    <w:rsid w:val="002565AD"/>
    <w:rsid w:val="002568E1"/>
    <w:rsid w:val="00256A79"/>
    <w:rsid w:val="00256ACF"/>
    <w:rsid w:val="0026124C"/>
    <w:rsid w:val="00261DC1"/>
    <w:rsid w:val="00262563"/>
    <w:rsid w:val="00263ABC"/>
    <w:rsid w:val="00264385"/>
    <w:rsid w:val="00265573"/>
    <w:rsid w:val="00266015"/>
    <w:rsid w:val="002661E2"/>
    <w:rsid w:val="0026756E"/>
    <w:rsid w:val="002713C6"/>
    <w:rsid w:val="00271574"/>
    <w:rsid w:val="00271971"/>
    <w:rsid w:val="0027219C"/>
    <w:rsid w:val="002733B7"/>
    <w:rsid w:val="00273EAC"/>
    <w:rsid w:val="002748ED"/>
    <w:rsid w:val="00274D90"/>
    <w:rsid w:val="002752BA"/>
    <w:rsid w:val="00275A0F"/>
    <w:rsid w:val="00275C9E"/>
    <w:rsid w:val="002800FF"/>
    <w:rsid w:val="0028065F"/>
    <w:rsid w:val="002808F3"/>
    <w:rsid w:val="00280E48"/>
    <w:rsid w:val="00282281"/>
    <w:rsid w:val="00282683"/>
    <w:rsid w:val="002841AA"/>
    <w:rsid w:val="00284607"/>
    <w:rsid w:val="0028484F"/>
    <w:rsid w:val="00284A33"/>
    <w:rsid w:val="00284C53"/>
    <w:rsid w:val="00284E80"/>
    <w:rsid w:val="002859DA"/>
    <w:rsid w:val="00285BE6"/>
    <w:rsid w:val="00286F39"/>
    <w:rsid w:val="0028765F"/>
    <w:rsid w:val="00290599"/>
    <w:rsid w:val="002906FB"/>
    <w:rsid w:val="00290967"/>
    <w:rsid w:val="00290C7A"/>
    <w:rsid w:val="00291006"/>
    <w:rsid w:val="00291042"/>
    <w:rsid w:val="0029230B"/>
    <w:rsid w:val="00292D87"/>
    <w:rsid w:val="00293164"/>
    <w:rsid w:val="00293930"/>
    <w:rsid w:val="00293CE5"/>
    <w:rsid w:val="00293FBF"/>
    <w:rsid w:val="00294FD3"/>
    <w:rsid w:val="002950C5"/>
    <w:rsid w:val="00295DE8"/>
    <w:rsid w:val="00296203"/>
    <w:rsid w:val="00297033"/>
    <w:rsid w:val="002975A5"/>
    <w:rsid w:val="002A0B86"/>
    <w:rsid w:val="002A0E5A"/>
    <w:rsid w:val="002A144E"/>
    <w:rsid w:val="002A1AD7"/>
    <w:rsid w:val="002A1C09"/>
    <w:rsid w:val="002A28B9"/>
    <w:rsid w:val="002A2977"/>
    <w:rsid w:val="002A391D"/>
    <w:rsid w:val="002A3BEC"/>
    <w:rsid w:val="002A3C0C"/>
    <w:rsid w:val="002A3FDC"/>
    <w:rsid w:val="002A44A0"/>
    <w:rsid w:val="002A4844"/>
    <w:rsid w:val="002A4951"/>
    <w:rsid w:val="002A4E28"/>
    <w:rsid w:val="002A64FD"/>
    <w:rsid w:val="002A6948"/>
    <w:rsid w:val="002A6CED"/>
    <w:rsid w:val="002A73B4"/>
    <w:rsid w:val="002A7AB2"/>
    <w:rsid w:val="002B06C7"/>
    <w:rsid w:val="002B0D06"/>
    <w:rsid w:val="002B0D34"/>
    <w:rsid w:val="002B1935"/>
    <w:rsid w:val="002B377F"/>
    <w:rsid w:val="002B4FC1"/>
    <w:rsid w:val="002B5874"/>
    <w:rsid w:val="002B587F"/>
    <w:rsid w:val="002B59CF"/>
    <w:rsid w:val="002B5C74"/>
    <w:rsid w:val="002B6102"/>
    <w:rsid w:val="002B615C"/>
    <w:rsid w:val="002B63AA"/>
    <w:rsid w:val="002B687C"/>
    <w:rsid w:val="002B6C79"/>
    <w:rsid w:val="002B6EA5"/>
    <w:rsid w:val="002B701C"/>
    <w:rsid w:val="002B7238"/>
    <w:rsid w:val="002B7DD8"/>
    <w:rsid w:val="002C054F"/>
    <w:rsid w:val="002C0B64"/>
    <w:rsid w:val="002C160B"/>
    <w:rsid w:val="002C163B"/>
    <w:rsid w:val="002C19CC"/>
    <w:rsid w:val="002C2306"/>
    <w:rsid w:val="002C2860"/>
    <w:rsid w:val="002C34FE"/>
    <w:rsid w:val="002C3555"/>
    <w:rsid w:val="002C40F6"/>
    <w:rsid w:val="002C47E2"/>
    <w:rsid w:val="002C625D"/>
    <w:rsid w:val="002C6827"/>
    <w:rsid w:val="002D067E"/>
    <w:rsid w:val="002D0C9C"/>
    <w:rsid w:val="002D1787"/>
    <w:rsid w:val="002D2F20"/>
    <w:rsid w:val="002D3179"/>
    <w:rsid w:val="002D31C4"/>
    <w:rsid w:val="002D475E"/>
    <w:rsid w:val="002D5A74"/>
    <w:rsid w:val="002D5D0D"/>
    <w:rsid w:val="002D5EBB"/>
    <w:rsid w:val="002D624D"/>
    <w:rsid w:val="002D73B2"/>
    <w:rsid w:val="002E0489"/>
    <w:rsid w:val="002E05FD"/>
    <w:rsid w:val="002E11E3"/>
    <w:rsid w:val="002E13D8"/>
    <w:rsid w:val="002E15DB"/>
    <w:rsid w:val="002E1785"/>
    <w:rsid w:val="002E251E"/>
    <w:rsid w:val="002E2CD9"/>
    <w:rsid w:val="002E3E45"/>
    <w:rsid w:val="002E41E6"/>
    <w:rsid w:val="002E4EDB"/>
    <w:rsid w:val="002E545D"/>
    <w:rsid w:val="002E57C8"/>
    <w:rsid w:val="002E5BCA"/>
    <w:rsid w:val="002E6247"/>
    <w:rsid w:val="002E7D71"/>
    <w:rsid w:val="002F153B"/>
    <w:rsid w:val="002F168E"/>
    <w:rsid w:val="002F1FB9"/>
    <w:rsid w:val="002F2121"/>
    <w:rsid w:val="002F299D"/>
    <w:rsid w:val="002F383D"/>
    <w:rsid w:val="002F3AF9"/>
    <w:rsid w:val="002F4094"/>
    <w:rsid w:val="002F43E8"/>
    <w:rsid w:val="002F5083"/>
    <w:rsid w:val="002F658B"/>
    <w:rsid w:val="002F6F6C"/>
    <w:rsid w:val="002F7F93"/>
    <w:rsid w:val="00300015"/>
    <w:rsid w:val="00300209"/>
    <w:rsid w:val="00301457"/>
    <w:rsid w:val="003028D9"/>
    <w:rsid w:val="0030393D"/>
    <w:rsid w:val="00303CA8"/>
    <w:rsid w:val="00304F83"/>
    <w:rsid w:val="0030529A"/>
    <w:rsid w:val="00305376"/>
    <w:rsid w:val="003058FD"/>
    <w:rsid w:val="003065D1"/>
    <w:rsid w:val="00306C25"/>
    <w:rsid w:val="00307006"/>
    <w:rsid w:val="003077F0"/>
    <w:rsid w:val="00307E01"/>
    <w:rsid w:val="00311D61"/>
    <w:rsid w:val="0031239B"/>
    <w:rsid w:val="003130AA"/>
    <w:rsid w:val="00313A68"/>
    <w:rsid w:val="00315849"/>
    <w:rsid w:val="00316A45"/>
    <w:rsid w:val="00317281"/>
    <w:rsid w:val="0032113A"/>
    <w:rsid w:val="00321B8D"/>
    <w:rsid w:val="00321F0A"/>
    <w:rsid w:val="0032207C"/>
    <w:rsid w:val="00322964"/>
    <w:rsid w:val="0032343C"/>
    <w:rsid w:val="00323C2E"/>
    <w:rsid w:val="00323D0B"/>
    <w:rsid w:val="00324283"/>
    <w:rsid w:val="003252B0"/>
    <w:rsid w:val="003254BE"/>
    <w:rsid w:val="00326CD8"/>
    <w:rsid w:val="00330E90"/>
    <w:rsid w:val="003319AA"/>
    <w:rsid w:val="00333143"/>
    <w:rsid w:val="003334C9"/>
    <w:rsid w:val="00334370"/>
    <w:rsid w:val="0033493B"/>
    <w:rsid w:val="0033545F"/>
    <w:rsid w:val="00335D24"/>
    <w:rsid w:val="0033709F"/>
    <w:rsid w:val="00337118"/>
    <w:rsid w:val="003377C8"/>
    <w:rsid w:val="003400D0"/>
    <w:rsid w:val="00340636"/>
    <w:rsid w:val="0034135D"/>
    <w:rsid w:val="00341A3F"/>
    <w:rsid w:val="00341BA1"/>
    <w:rsid w:val="00341D35"/>
    <w:rsid w:val="00341FF4"/>
    <w:rsid w:val="00342751"/>
    <w:rsid w:val="0034299C"/>
    <w:rsid w:val="00342BD4"/>
    <w:rsid w:val="00342CCE"/>
    <w:rsid w:val="00343208"/>
    <w:rsid w:val="003457D5"/>
    <w:rsid w:val="00345A48"/>
    <w:rsid w:val="00345B44"/>
    <w:rsid w:val="003466E9"/>
    <w:rsid w:val="003478D9"/>
    <w:rsid w:val="00347E22"/>
    <w:rsid w:val="0035017B"/>
    <w:rsid w:val="003509BA"/>
    <w:rsid w:val="00351A54"/>
    <w:rsid w:val="00351F41"/>
    <w:rsid w:val="003521ED"/>
    <w:rsid w:val="00354023"/>
    <w:rsid w:val="00355113"/>
    <w:rsid w:val="003553B4"/>
    <w:rsid w:val="0035565E"/>
    <w:rsid w:val="003563DD"/>
    <w:rsid w:val="00357071"/>
    <w:rsid w:val="003570CF"/>
    <w:rsid w:val="00357584"/>
    <w:rsid w:val="00357C7B"/>
    <w:rsid w:val="003608DB"/>
    <w:rsid w:val="0036123C"/>
    <w:rsid w:val="00361CD5"/>
    <w:rsid w:val="003624E2"/>
    <w:rsid w:val="00362590"/>
    <w:rsid w:val="00364EB4"/>
    <w:rsid w:val="00365BA7"/>
    <w:rsid w:val="0036638E"/>
    <w:rsid w:val="00366744"/>
    <w:rsid w:val="00366BBD"/>
    <w:rsid w:val="00367D86"/>
    <w:rsid w:val="0037018E"/>
    <w:rsid w:val="00370EA7"/>
    <w:rsid w:val="00371840"/>
    <w:rsid w:val="00372014"/>
    <w:rsid w:val="00372641"/>
    <w:rsid w:val="00372C4B"/>
    <w:rsid w:val="00373019"/>
    <w:rsid w:val="00373765"/>
    <w:rsid w:val="0037402D"/>
    <w:rsid w:val="0037427B"/>
    <w:rsid w:val="00374A34"/>
    <w:rsid w:val="003758F4"/>
    <w:rsid w:val="0037671D"/>
    <w:rsid w:val="003768E4"/>
    <w:rsid w:val="003775C2"/>
    <w:rsid w:val="003776CE"/>
    <w:rsid w:val="00380270"/>
    <w:rsid w:val="00380475"/>
    <w:rsid w:val="0038098C"/>
    <w:rsid w:val="00381258"/>
    <w:rsid w:val="00381756"/>
    <w:rsid w:val="00381F27"/>
    <w:rsid w:val="00381FFD"/>
    <w:rsid w:val="003836DC"/>
    <w:rsid w:val="00383805"/>
    <w:rsid w:val="00384A8F"/>
    <w:rsid w:val="00384D94"/>
    <w:rsid w:val="00385307"/>
    <w:rsid w:val="00385567"/>
    <w:rsid w:val="00385F60"/>
    <w:rsid w:val="00386750"/>
    <w:rsid w:val="00386790"/>
    <w:rsid w:val="003871E7"/>
    <w:rsid w:val="003874C3"/>
    <w:rsid w:val="00387F0E"/>
    <w:rsid w:val="003909C5"/>
    <w:rsid w:val="00390C6F"/>
    <w:rsid w:val="003912EA"/>
    <w:rsid w:val="0039323B"/>
    <w:rsid w:val="00393B9B"/>
    <w:rsid w:val="003944BF"/>
    <w:rsid w:val="0039465A"/>
    <w:rsid w:val="00394A43"/>
    <w:rsid w:val="00394B46"/>
    <w:rsid w:val="00394D30"/>
    <w:rsid w:val="0039536E"/>
    <w:rsid w:val="00396C77"/>
    <w:rsid w:val="00397D2B"/>
    <w:rsid w:val="00397E82"/>
    <w:rsid w:val="003A020F"/>
    <w:rsid w:val="003A033F"/>
    <w:rsid w:val="003A0A02"/>
    <w:rsid w:val="003A0FD7"/>
    <w:rsid w:val="003A1A85"/>
    <w:rsid w:val="003A1B9F"/>
    <w:rsid w:val="003A1BE5"/>
    <w:rsid w:val="003A2C50"/>
    <w:rsid w:val="003A35A4"/>
    <w:rsid w:val="003A3FB1"/>
    <w:rsid w:val="003A44ED"/>
    <w:rsid w:val="003A50A6"/>
    <w:rsid w:val="003A61A5"/>
    <w:rsid w:val="003A6435"/>
    <w:rsid w:val="003A657D"/>
    <w:rsid w:val="003A67C1"/>
    <w:rsid w:val="003A73CE"/>
    <w:rsid w:val="003A7A49"/>
    <w:rsid w:val="003B044B"/>
    <w:rsid w:val="003B064C"/>
    <w:rsid w:val="003B0B3F"/>
    <w:rsid w:val="003B1B92"/>
    <w:rsid w:val="003B2711"/>
    <w:rsid w:val="003B2FAD"/>
    <w:rsid w:val="003B303E"/>
    <w:rsid w:val="003B3225"/>
    <w:rsid w:val="003B44CB"/>
    <w:rsid w:val="003B4E7E"/>
    <w:rsid w:val="003B5AEA"/>
    <w:rsid w:val="003B5D9A"/>
    <w:rsid w:val="003B61F1"/>
    <w:rsid w:val="003B61FB"/>
    <w:rsid w:val="003B67E6"/>
    <w:rsid w:val="003B78EE"/>
    <w:rsid w:val="003B7B5D"/>
    <w:rsid w:val="003C0D46"/>
    <w:rsid w:val="003C12FA"/>
    <w:rsid w:val="003C19D4"/>
    <w:rsid w:val="003C242F"/>
    <w:rsid w:val="003C2F9B"/>
    <w:rsid w:val="003C41EB"/>
    <w:rsid w:val="003C5975"/>
    <w:rsid w:val="003C5C51"/>
    <w:rsid w:val="003C5E37"/>
    <w:rsid w:val="003C5FDC"/>
    <w:rsid w:val="003C7122"/>
    <w:rsid w:val="003C7612"/>
    <w:rsid w:val="003D01A4"/>
    <w:rsid w:val="003D23CB"/>
    <w:rsid w:val="003D28EF"/>
    <w:rsid w:val="003D3F6C"/>
    <w:rsid w:val="003D42B9"/>
    <w:rsid w:val="003D4D1A"/>
    <w:rsid w:val="003D513F"/>
    <w:rsid w:val="003D527C"/>
    <w:rsid w:val="003D578C"/>
    <w:rsid w:val="003D6E0B"/>
    <w:rsid w:val="003D7190"/>
    <w:rsid w:val="003E02F2"/>
    <w:rsid w:val="003E0CFA"/>
    <w:rsid w:val="003E1C8C"/>
    <w:rsid w:val="003E2EFC"/>
    <w:rsid w:val="003E35F7"/>
    <w:rsid w:val="003E3B74"/>
    <w:rsid w:val="003E3D9D"/>
    <w:rsid w:val="003E3FE9"/>
    <w:rsid w:val="003E404E"/>
    <w:rsid w:val="003E516A"/>
    <w:rsid w:val="003E54A6"/>
    <w:rsid w:val="003E575A"/>
    <w:rsid w:val="003E5C76"/>
    <w:rsid w:val="003E6EC3"/>
    <w:rsid w:val="003E783D"/>
    <w:rsid w:val="003F020D"/>
    <w:rsid w:val="003F02D4"/>
    <w:rsid w:val="003F0500"/>
    <w:rsid w:val="003F0588"/>
    <w:rsid w:val="003F1274"/>
    <w:rsid w:val="003F1630"/>
    <w:rsid w:val="003F17A7"/>
    <w:rsid w:val="003F1D3E"/>
    <w:rsid w:val="003F2080"/>
    <w:rsid w:val="003F21D6"/>
    <w:rsid w:val="003F27BB"/>
    <w:rsid w:val="003F2B6A"/>
    <w:rsid w:val="003F433B"/>
    <w:rsid w:val="003F514F"/>
    <w:rsid w:val="003F5A8F"/>
    <w:rsid w:val="003F5F05"/>
    <w:rsid w:val="003F6210"/>
    <w:rsid w:val="003F6E8C"/>
    <w:rsid w:val="003F6EA0"/>
    <w:rsid w:val="003F7F52"/>
    <w:rsid w:val="004008DA"/>
    <w:rsid w:val="0040158F"/>
    <w:rsid w:val="00402166"/>
    <w:rsid w:val="004021E0"/>
    <w:rsid w:val="00402C19"/>
    <w:rsid w:val="00404572"/>
    <w:rsid w:val="00404F50"/>
    <w:rsid w:val="00405697"/>
    <w:rsid w:val="0040573F"/>
    <w:rsid w:val="00406418"/>
    <w:rsid w:val="004068E1"/>
    <w:rsid w:val="00407072"/>
    <w:rsid w:val="004071A0"/>
    <w:rsid w:val="00407447"/>
    <w:rsid w:val="00410723"/>
    <w:rsid w:val="00410988"/>
    <w:rsid w:val="00411030"/>
    <w:rsid w:val="0041107B"/>
    <w:rsid w:val="0041183C"/>
    <w:rsid w:val="00411BDD"/>
    <w:rsid w:val="004134BA"/>
    <w:rsid w:val="00413867"/>
    <w:rsid w:val="004139D7"/>
    <w:rsid w:val="00413BFE"/>
    <w:rsid w:val="00413CCB"/>
    <w:rsid w:val="00414F3E"/>
    <w:rsid w:val="0041555D"/>
    <w:rsid w:val="004158AD"/>
    <w:rsid w:val="00415D78"/>
    <w:rsid w:val="00416BE2"/>
    <w:rsid w:val="004171E5"/>
    <w:rsid w:val="00417366"/>
    <w:rsid w:val="004176AB"/>
    <w:rsid w:val="004179DF"/>
    <w:rsid w:val="00417EC3"/>
    <w:rsid w:val="00420149"/>
    <w:rsid w:val="00420316"/>
    <w:rsid w:val="004205FB"/>
    <w:rsid w:val="004207BA"/>
    <w:rsid w:val="004208EC"/>
    <w:rsid w:val="00420EAB"/>
    <w:rsid w:val="0042138E"/>
    <w:rsid w:val="00421BFB"/>
    <w:rsid w:val="004232DA"/>
    <w:rsid w:val="00423B62"/>
    <w:rsid w:val="00425CFF"/>
    <w:rsid w:val="004269E5"/>
    <w:rsid w:val="0042732C"/>
    <w:rsid w:val="00427620"/>
    <w:rsid w:val="00427C01"/>
    <w:rsid w:val="004303EC"/>
    <w:rsid w:val="0043055F"/>
    <w:rsid w:val="0043133A"/>
    <w:rsid w:val="00433A14"/>
    <w:rsid w:val="00434C42"/>
    <w:rsid w:val="00434E89"/>
    <w:rsid w:val="00435D8B"/>
    <w:rsid w:val="00436DEB"/>
    <w:rsid w:val="00440126"/>
    <w:rsid w:val="00440DEC"/>
    <w:rsid w:val="00442222"/>
    <w:rsid w:val="00442B13"/>
    <w:rsid w:val="00442CDC"/>
    <w:rsid w:val="00442DE9"/>
    <w:rsid w:val="00443AE4"/>
    <w:rsid w:val="00444F3A"/>
    <w:rsid w:val="004454DB"/>
    <w:rsid w:val="00445A9A"/>
    <w:rsid w:val="00446CC7"/>
    <w:rsid w:val="00447109"/>
    <w:rsid w:val="004474DB"/>
    <w:rsid w:val="004476AD"/>
    <w:rsid w:val="00447F8E"/>
    <w:rsid w:val="00450434"/>
    <w:rsid w:val="004512AB"/>
    <w:rsid w:val="00452251"/>
    <w:rsid w:val="00452C31"/>
    <w:rsid w:val="00453C3A"/>
    <w:rsid w:val="00453CF5"/>
    <w:rsid w:val="00454242"/>
    <w:rsid w:val="00454B2F"/>
    <w:rsid w:val="00457BDB"/>
    <w:rsid w:val="004612A8"/>
    <w:rsid w:val="004615EE"/>
    <w:rsid w:val="00462128"/>
    <w:rsid w:val="004625B2"/>
    <w:rsid w:val="0046295F"/>
    <w:rsid w:val="0046353D"/>
    <w:rsid w:val="00463EA4"/>
    <w:rsid w:val="00464A14"/>
    <w:rsid w:val="0046564E"/>
    <w:rsid w:val="00466074"/>
    <w:rsid w:val="004660CD"/>
    <w:rsid w:val="00466CB1"/>
    <w:rsid w:val="00467C71"/>
    <w:rsid w:val="004715A0"/>
    <w:rsid w:val="00471640"/>
    <w:rsid w:val="00471742"/>
    <w:rsid w:val="00471ACF"/>
    <w:rsid w:val="00471E19"/>
    <w:rsid w:val="00471F29"/>
    <w:rsid w:val="0047340C"/>
    <w:rsid w:val="004734C0"/>
    <w:rsid w:val="00473981"/>
    <w:rsid w:val="00473A0B"/>
    <w:rsid w:val="00473BF8"/>
    <w:rsid w:val="00473E89"/>
    <w:rsid w:val="00474292"/>
    <w:rsid w:val="00474F7B"/>
    <w:rsid w:val="00475DD7"/>
    <w:rsid w:val="004779D2"/>
    <w:rsid w:val="00477B48"/>
    <w:rsid w:val="00477F20"/>
    <w:rsid w:val="004801DD"/>
    <w:rsid w:val="00480991"/>
    <w:rsid w:val="00480B95"/>
    <w:rsid w:val="00481B6F"/>
    <w:rsid w:val="0048377B"/>
    <w:rsid w:val="00483E08"/>
    <w:rsid w:val="00484096"/>
    <w:rsid w:val="00484FB3"/>
    <w:rsid w:val="0048521C"/>
    <w:rsid w:val="00485455"/>
    <w:rsid w:val="004876D5"/>
    <w:rsid w:val="004878EF"/>
    <w:rsid w:val="00487E14"/>
    <w:rsid w:val="004906FA"/>
    <w:rsid w:val="00490ABB"/>
    <w:rsid w:val="00490EE8"/>
    <w:rsid w:val="0049182D"/>
    <w:rsid w:val="00491EFA"/>
    <w:rsid w:val="0049295B"/>
    <w:rsid w:val="0049388C"/>
    <w:rsid w:val="00494259"/>
    <w:rsid w:val="0049442B"/>
    <w:rsid w:val="0049442F"/>
    <w:rsid w:val="00496D0C"/>
    <w:rsid w:val="00497A67"/>
    <w:rsid w:val="004A0232"/>
    <w:rsid w:val="004A0475"/>
    <w:rsid w:val="004A0C03"/>
    <w:rsid w:val="004A1049"/>
    <w:rsid w:val="004A14F2"/>
    <w:rsid w:val="004A14FD"/>
    <w:rsid w:val="004A158A"/>
    <w:rsid w:val="004A1863"/>
    <w:rsid w:val="004A2BF5"/>
    <w:rsid w:val="004A3611"/>
    <w:rsid w:val="004A3D7E"/>
    <w:rsid w:val="004A3F44"/>
    <w:rsid w:val="004A500E"/>
    <w:rsid w:val="004A56F9"/>
    <w:rsid w:val="004A583B"/>
    <w:rsid w:val="004A59D9"/>
    <w:rsid w:val="004A5D25"/>
    <w:rsid w:val="004B13BF"/>
    <w:rsid w:val="004B1AF7"/>
    <w:rsid w:val="004B2D9C"/>
    <w:rsid w:val="004B3FC9"/>
    <w:rsid w:val="004B523C"/>
    <w:rsid w:val="004B717D"/>
    <w:rsid w:val="004B7D12"/>
    <w:rsid w:val="004C043B"/>
    <w:rsid w:val="004C1E6A"/>
    <w:rsid w:val="004C2A14"/>
    <w:rsid w:val="004C436F"/>
    <w:rsid w:val="004C5353"/>
    <w:rsid w:val="004C5592"/>
    <w:rsid w:val="004C579E"/>
    <w:rsid w:val="004C6367"/>
    <w:rsid w:val="004C6754"/>
    <w:rsid w:val="004C7240"/>
    <w:rsid w:val="004C73D8"/>
    <w:rsid w:val="004C76A4"/>
    <w:rsid w:val="004D0361"/>
    <w:rsid w:val="004D221E"/>
    <w:rsid w:val="004D22B4"/>
    <w:rsid w:val="004D3156"/>
    <w:rsid w:val="004D3746"/>
    <w:rsid w:val="004D47D7"/>
    <w:rsid w:val="004D58A0"/>
    <w:rsid w:val="004D5953"/>
    <w:rsid w:val="004D60FE"/>
    <w:rsid w:val="004D6364"/>
    <w:rsid w:val="004D6406"/>
    <w:rsid w:val="004D665B"/>
    <w:rsid w:val="004D77C1"/>
    <w:rsid w:val="004D7E16"/>
    <w:rsid w:val="004E0528"/>
    <w:rsid w:val="004E0741"/>
    <w:rsid w:val="004E1BB3"/>
    <w:rsid w:val="004E1E2C"/>
    <w:rsid w:val="004E25BE"/>
    <w:rsid w:val="004E2A1F"/>
    <w:rsid w:val="004E2B52"/>
    <w:rsid w:val="004E33CE"/>
    <w:rsid w:val="004E3884"/>
    <w:rsid w:val="004E46FD"/>
    <w:rsid w:val="004E4997"/>
    <w:rsid w:val="004E5854"/>
    <w:rsid w:val="004E5AFC"/>
    <w:rsid w:val="004E5D17"/>
    <w:rsid w:val="004E6A9E"/>
    <w:rsid w:val="004F0096"/>
    <w:rsid w:val="004F0933"/>
    <w:rsid w:val="004F0DB7"/>
    <w:rsid w:val="004F10F0"/>
    <w:rsid w:val="004F23BA"/>
    <w:rsid w:val="004F2DDC"/>
    <w:rsid w:val="004F2E44"/>
    <w:rsid w:val="004F5018"/>
    <w:rsid w:val="004F5533"/>
    <w:rsid w:val="004F5638"/>
    <w:rsid w:val="004F5862"/>
    <w:rsid w:val="00500515"/>
    <w:rsid w:val="005006CB"/>
    <w:rsid w:val="00500D3D"/>
    <w:rsid w:val="0050166E"/>
    <w:rsid w:val="00501B8E"/>
    <w:rsid w:val="00501CBD"/>
    <w:rsid w:val="00503D16"/>
    <w:rsid w:val="00504881"/>
    <w:rsid w:val="005049C7"/>
    <w:rsid w:val="00504EAC"/>
    <w:rsid w:val="005051E7"/>
    <w:rsid w:val="005060B6"/>
    <w:rsid w:val="00506F74"/>
    <w:rsid w:val="00507434"/>
    <w:rsid w:val="0050759B"/>
    <w:rsid w:val="00507A37"/>
    <w:rsid w:val="00507B75"/>
    <w:rsid w:val="00507E20"/>
    <w:rsid w:val="00510918"/>
    <w:rsid w:val="00511224"/>
    <w:rsid w:val="0051284D"/>
    <w:rsid w:val="00513A44"/>
    <w:rsid w:val="00514519"/>
    <w:rsid w:val="00515799"/>
    <w:rsid w:val="00516D24"/>
    <w:rsid w:val="00517083"/>
    <w:rsid w:val="005178FE"/>
    <w:rsid w:val="00517AD0"/>
    <w:rsid w:val="00520B76"/>
    <w:rsid w:val="00521171"/>
    <w:rsid w:val="00521F75"/>
    <w:rsid w:val="00522B51"/>
    <w:rsid w:val="00523425"/>
    <w:rsid w:val="00523A42"/>
    <w:rsid w:val="0052417B"/>
    <w:rsid w:val="005245AA"/>
    <w:rsid w:val="005247DD"/>
    <w:rsid w:val="00524DB8"/>
    <w:rsid w:val="00525964"/>
    <w:rsid w:val="00526128"/>
    <w:rsid w:val="005263EC"/>
    <w:rsid w:val="00526601"/>
    <w:rsid w:val="00526C97"/>
    <w:rsid w:val="00526E7B"/>
    <w:rsid w:val="00526F02"/>
    <w:rsid w:val="00530379"/>
    <w:rsid w:val="00530685"/>
    <w:rsid w:val="00531345"/>
    <w:rsid w:val="00533625"/>
    <w:rsid w:val="00533854"/>
    <w:rsid w:val="00534016"/>
    <w:rsid w:val="00534AF8"/>
    <w:rsid w:val="00534BB0"/>
    <w:rsid w:val="00535F85"/>
    <w:rsid w:val="00536107"/>
    <w:rsid w:val="00536954"/>
    <w:rsid w:val="00536C7F"/>
    <w:rsid w:val="00536D10"/>
    <w:rsid w:val="0053724E"/>
    <w:rsid w:val="00537B6B"/>
    <w:rsid w:val="00537FF8"/>
    <w:rsid w:val="005414C1"/>
    <w:rsid w:val="0054245C"/>
    <w:rsid w:val="00544499"/>
    <w:rsid w:val="00544A69"/>
    <w:rsid w:val="00545EDC"/>
    <w:rsid w:val="005464A2"/>
    <w:rsid w:val="005468CD"/>
    <w:rsid w:val="00546D64"/>
    <w:rsid w:val="005472D1"/>
    <w:rsid w:val="00547B78"/>
    <w:rsid w:val="00551E77"/>
    <w:rsid w:val="005520C2"/>
    <w:rsid w:val="005540D5"/>
    <w:rsid w:val="00554429"/>
    <w:rsid w:val="00554582"/>
    <w:rsid w:val="00554E75"/>
    <w:rsid w:val="00554FA3"/>
    <w:rsid w:val="0055582D"/>
    <w:rsid w:val="0055621E"/>
    <w:rsid w:val="0055622B"/>
    <w:rsid w:val="00556525"/>
    <w:rsid w:val="005569AE"/>
    <w:rsid w:val="005574A0"/>
    <w:rsid w:val="00557DE6"/>
    <w:rsid w:val="00557EF6"/>
    <w:rsid w:val="00557EFF"/>
    <w:rsid w:val="005607BA"/>
    <w:rsid w:val="00560CE1"/>
    <w:rsid w:val="00560CFC"/>
    <w:rsid w:val="0056164F"/>
    <w:rsid w:val="00561AF6"/>
    <w:rsid w:val="00562D72"/>
    <w:rsid w:val="00563095"/>
    <w:rsid w:val="00563C87"/>
    <w:rsid w:val="00565E43"/>
    <w:rsid w:val="00565F22"/>
    <w:rsid w:val="00566960"/>
    <w:rsid w:val="00566BF5"/>
    <w:rsid w:val="00570502"/>
    <w:rsid w:val="005706B2"/>
    <w:rsid w:val="00572CFA"/>
    <w:rsid w:val="00574413"/>
    <w:rsid w:val="00574A8C"/>
    <w:rsid w:val="005753F7"/>
    <w:rsid w:val="00576837"/>
    <w:rsid w:val="00580EAD"/>
    <w:rsid w:val="00581917"/>
    <w:rsid w:val="00582583"/>
    <w:rsid w:val="00582D0C"/>
    <w:rsid w:val="005843DD"/>
    <w:rsid w:val="00584B16"/>
    <w:rsid w:val="005868A8"/>
    <w:rsid w:val="00586976"/>
    <w:rsid w:val="00586C81"/>
    <w:rsid w:val="00586E6F"/>
    <w:rsid w:val="005875D0"/>
    <w:rsid w:val="00587788"/>
    <w:rsid w:val="00587B14"/>
    <w:rsid w:val="00587E07"/>
    <w:rsid w:val="00587F91"/>
    <w:rsid w:val="00590621"/>
    <w:rsid w:val="00590A05"/>
    <w:rsid w:val="00590D64"/>
    <w:rsid w:val="00590F83"/>
    <w:rsid w:val="00591D93"/>
    <w:rsid w:val="00592067"/>
    <w:rsid w:val="0059219E"/>
    <w:rsid w:val="0059282D"/>
    <w:rsid w:val="00594A95"/>
    <w:rsid w:val="005950B8"/>
    <w:rsid w:val="00595ABE"/>
    <w:rsid w:val="00596A05"/>
    <w:rsid w:val="00597381"/>
    <w:rsid w:val="005A04A0"/>
    <w:rsid w:val="005A0A0B"/>
    <w:rsid w:val="005A199F"/>
    <w:rsid w:val="005A1F0A"/>
    <w:rsid w:val="005A2615"/>
    <w:rsid w:val="005A37DC"/>
    <w:rsid w:val="005A4166"/>
    <w:rsid w:val="005A49C7"/>
    <w:rsid w:val="005A4ABC"/>
    <w:rsid w:val="005A5E86"/>
    <w:rsid w:val="005A683A"/>
    <w:rsid w:val="005A6FC9"/>
    <w:rsid w:val="005A76E9"/>
    <w:rsid w:val="005A7A42"/>
    <w:rsid w:val="005B0745"/>
    <w:rsid w:val="005B1662"/>
    <w:rsid w:val="005B2489"/>
    <w:rsid w:val="005B264A"/>
    <w:rsid w:val="005B3507"/>
    <w:rsid w:val="005B3E38"/>
    <w:rsid w:val="005B46AE"/>
    <w:rsid w:val="005B46AF"/>
    <w:rsid w:val="005B46ED"/>
    <w:rsid w:val="005B4B72"/>
    <w:rsid w:val="005B4DB2"/>
    <w:rsid w:val="005B524B"/>
    <w:rsid w:val="005B5568"/>
    <w:rsid w:val="005B5C5F"/>
    <w:rsid w:val="005B5EE5"/>
    <w:rsid w:val="005B614D"/>
    <w:rsid w:val="005B6D25"/>
    <w:rsid w:val="005B7DE4"/>
    <w:rsid w:val="005C01DB"/>
    <w:rsid w:val="005C075E"/>
    <w:rsid w:val="005C090A"/>
    <w:rsid w:val="005C0BAA"/>
    <w:rsid w:val="005C25E4"/>
    <w:rsid w:val="005C2FC1"/>
    <w:rsid w:val="005C36D2"/>
    <w:rsid w:val="005C4231"/>
    <w:rsid w:val="005C4444"/>
    <w:rsid w:val="005C4A83"/>
    <w:rsid w:val="005C6A8C"/>
    <w:rsid w:val="005C6AFC"/>
    <w:rsid w:val="005C7FD3"/>
    <w:rsid w:val="005D0679"/>
    <w:rsid w:val="005D16F4"/>
    <w:rsid w:val="005D222D"/>
    <w:rsid w:val="005D32D6"/>
    <w:rsid w:val="005D33E6"/>
    <w:rsid w:val="005D3467"/>
    <w:rsid w:val="005D3C4B"/>
    <w:rsid w:val="005D5371"/>
    <w:rsid w:val="005D56FA"/>
    <w:rsid w:val="005D66F4"/>
    <w:rsid w:val="005D69D3"/>
    <w:rsid w:val="005D6B0F"/>
    <w:rsid w:val="005D7A4D"/>
    <w:rsid w:val="005E012D"/>
    <w:rsid w:val="005E05A5"/>
    <w:rsid w:val="005E08D6"/>
    <w:rsid w:val="005E1F88"/>
    <w:rsid w:val="005E25F2"/>
    <w:rsid w:val="005E272F"/>
    <w:rsid w:val="005E3E20"/>
    <w:rsid w:val="005E4851"/>
    <w:rsid w:val="005E4DFE"/>
    <w:rsid w:val="005E53BC"/>
    <w:rsid w:val="005E5AF4"/>
    <w:rsid w:val="005E5E95"/>
    <w:rsid w:val="005E65EC"/>
    <w:rsid w:val="005E6A3D"/>
    <w:rsid w:val="005E6F29"/>
    <w:rsid w:val="005F0754"/>
    <w:rsid w:val="005F1205"/>
    <w:rsid w:val="005F12ED"/>
    <w:rsid w:val="005F155A"/>
    <w:rsid w:val="005F2497"/>
    <w:rsid w:val="005F467D"/>
    <w:rsid w:val="005F46FB"/>
    <w:rsid w:val="005F4C1E"/>
    <w:rsid w:val="005F63CC"/>
    <w:rsid w:val="005F64F6"/>
    <w:rsid w:val="005F660C"/>
    <w:rsid w:val="005F720E"/>
    <w:rsid w:val="005F7323"/>
    <w:rsid w:val="00602B6B"/>
    <w:rsid w:val="0060300D"/>
    <w:rsid w:val="00603823"/>
    <w:rsid w:val="00605A6E"/>
    <w:rsid w:val="00605C50"/>
    <w:rsid w:val="00605D15"/>
    <w:rsid w:val="00605EC7"/>
    <w:rsid w:val="00606639"/>
    <w:rsid w:val="00606DB1"/>
    <w:rsid w:val="00606ECD"/>
    <w:rsid w:val="0060734D"/>
    <w:rsid w:val="0061050A"/>
    <w:rsid w:val="00610CF3"/>
    <w:rsid w:val="00610E6C"/>
    <w:rsid w:val="0061132B"/>
    <w:rsid w:val="00611478"/>
    <w:rsid w:val="00611BC3"/>
    <w:rsid w:val="006123F2"/>
    <w:rsid w:val="00613346"/>
    <w:rsid w:val="00614ECF"/>
    <w:rsid w:val="00615CD8"/>
    <w:rsid w:val="006162C9"/>
    <w:rsid w:val="00616DF8"/>
    <w:rsid w:val="00620169"/>
    <w:rsid w:val="00620618"/>
    <w:rsid w:val="006210EA"/>
    <w:rsid w:val="00622415"/>
    <w:rsid w:val="006224CA"/>
    <w:rsid w:val="0062341B"/>
    <w:rsid w:val="006235C6"/>
    <w:rsid w:val="006246F7"/>
    <w:rsid w:val="00624C93"/>
    <w:rsid w:val="00626091"/>
    <w:rsid w:val="0062793B"/>
    <w:rsid w:val="00627965"/>
    <w:rsid w:val="00627F00"/>
    <w:rsid w:val="006302BA"/>
    <w:rsid w:val="00630CAC"/>
    <w:rsid w:val="00630ED2"/>
    <w:rsid w:val="00632EA1"/>
    <w:rsid w:val="00632EC4"/>
    <w:rsid w:val="006356F5"/>
    <w:rsid w:val="00636060"/>
    <w:rsid w:val="006363EF"/>
    <w:rsid w:val="006370DE"/>
    <w:rsid w:val="006408B1"/>
    <w:rsid w:val="0064254E"/>
    <w:rsid w:val="006425F5"/>
    <w:rsid w:val="006430D7"/>
    <w:rsid w:val="00644A70"/>
    <w:rsid w:val="006452E6"/>
    <w:rsid w:val="00645E88"/>
    <w:rsid w:val="0064665A"/>
    <w:rsid w:val="00651031"/>
    <w:rsid w:val="0065173B"/>
    <w:rsid w:val="00654624"/>
    <w:rsid w:val="00654698"/>
    <w:rsid w:val="00655168"/>
    <w:rsid w:val="0065557E"/>
    <w:rsid w:val="00655777"/>
    <w:rsid w:val="006558CC"/>
    <w:rsid w:val="006560B5"/>
    <w:rsid w:val="0065657C"/>
    <w:rsid w:val="0065759C"/>
    <w:rsid w:val="006601B2"/>
    <w:rsid w:val="00660293"/>
    <w:rsid w:val="00660B2D"/>
    <w:rsid w:val="00660C78"/>
    <w:rsid w:val="00660D13"/>
    <w:rsid w:val="00660F9D"/>
    <w:rsid w:val="0066121B"/>
    <w:rsid w:val="0066154C"/>
    <w:rsid w:val="00661A6E"/>
    <w:rsid w:val="0066217E"/>
    <w:rsid w:val="006621EE"/>
    <w:rsid w:val="006626E5"/>
    <w:rsid w:val="00663A67"/>
    <w:rsid w:val="0066409C"/>
    <w:rsid w:val="00664388"/>
    <w:rsid w:val="0066516E"/>
    <w:rsid w:val="00665180"/>
    <w:rsid w:val="0066574A"/>
    <w:rsid w:val="00665C7E"/>
    <w:rsid w:val="00666823"/>
    <w:rsid w:val="006668C6"/>
    <w:rsid w:val="00666A2E"/>
    <w:rsid w:val="00666E91"/>
    <w:rsid w:val="006678C5"/>
    <w:rsid w:val="00667A31"/>
    <w:rsid w:val="00670559"/>
    <w:rsid w:val="00671517"/>
    <w:rsid w:val="00671DF5"/>
    <w:rsid w:val="00674078"/>
    <w:rsid w:val="00675195"/>
    <w:rsid w:val="006752BB"/>
    <w:rsid w:val="00675CD4"/>
    <w:rsid w:val="00676815"/>
    <w:rsid w:val="00677152"/>
    <w:rsid w:val="0067720A"/>
    <w:rsid w:val="00677311"/>
    <w:rsid w:val="00677B2C"/>
    <w:rsid w:val="00680288"/>
    <w:rsid w:val="00680B02"/>
    <w:rsid w:val="00680EAB"/>
    <w:rsid w:val="00682DA3"/>
    <w:rsid w:val="00682F92"/>
    <w:rsid w:val="006832A7"/>
    <w:rsid w:val="00683694"/>
    <w:rsid w:val="00683867"/>
    <w:rsid w:val="00683CA4"/>
    <w:rsid w:val="0068576B"/>
    <w:rsid w:val="0068583A"/>
    <w:rsid w:val="00686029"/>
    <w:rsid w:val="006861CF"/>
    <w:rsid w:val="006863C3"/>
    <w:rsid w:val="00686ABE"/>
    <w:rsid w:val="00686C31"/>
    <w:rsid w:val="006872E8"/>
    <w:rsid w:val="00687CD8"/>
    <w:rsid w:val="00687D0C"/>
    <w:rsid w:val="00690A3B"/>
    <w:rsid w:val="00690ECA"/>
    <w:rsid w:val="00691206"/>
    <w:rsid w:val="00691A8F"/>
    <w:rsid w:val="00691FE3"/>
    <w:rsid w:val="006920BC"/>
    <w:rsid w:val="00693DC7"/>
    <w:rsid w:val="0069467B"/>
    <w:rsid w:val="00694898"/>
    <w:rsid w:val="006964C4"/>
    <w:rsid w:val="00696669"/>
    <w:rsid w:val="00696C95"/>
    <w:rsid w:val="006A03B1"/>
    <w:rsid w:val="006A0EA3"/>
    <w:rsid w:val="006A1167"/>
    <w:rsid w:val="006A16C0"/>
    <w:rsid w:val="006A1A35"/>
    <w:rsid w:val="006A1AFD"/>
    <w:rsid w:val="006A1B1C"/>
    <w:rsid w:val="006A217A"/>
    <w:rsid w:val="006A243D"/>
    <w:rsid w:val="006A2EDD"/>
    <w:rsid w:val="006A3329"/>
    <w:rsid w:val="006A3416"/>
    <w:rsid w:val="006A37B5"/>
    <w:rsid w:val="006A40C8"/>
    <w:rsid w:val="006A4508"/>
    <w:rsid w:val="006A4610"/>
    <w:rsid w:val="006A4A7F"/>
    <w:rsid w:val="006A5003"/>
    <w:rsid w:val="006A5208"/>
    <w:rsid w:val="006A529C"/>
    <w:rsid w:val="006A5311"/>
    <w:rsid w:val="006A5DF0"/>
    <w:rsid w:val="006A63D8"/>
    <w:rsid w:val="006A6F5D"/>
    <w:rsid w:val="006A7155"/>
    <w:rsid w:val="006B0B76"/>
    <w:rsid w:val="006B1E0D"/>
    <w:rsid w:val="006B255D"/>
    <w:rsid w:val="006B31E3"/>
    <w:rsid w:val="006B34D6"/>
    <w:rsid w:val="006B3910"/>
    <w:rsid w:val="006B3DBF"/>
    <w:rsid w:val="006B4304"/>
    <w:rsid w:val="006B4C73"/>
    <w:rsid w:val="006B53B1"/>
    <w:rsid w:val="006B6E99"/>
    <w:rsid w:val="006B6F0E"/>
    <w:rsid w:val="006B7761"/>
    <w:rsid w:val="006C0564"/>
    <w:rsid w:val="006C0E49"/>
    <w:rsid w:val="006C0F84"/>
    <w:rsid w:val="006C1E02"/>
    <w:rsid w:val="006C1F5D"/>
    <w:rsid w:val="006C3BB7"/>
    <w:rsid w:val="006C49BD"/>
    <w:rsid w:val="006C49F7"/>
    <w:rsid w:val="006C5801"/>
    <w:rsid w:val="006C592A"/>
    <w:rsid w:val="006C618F"/>
    <w:rsid w:val="006C6567"/>
    <w:rsid w:val="006C6C34"/>
    <w:rsid w:val="006C6ED2"/>
    <w:rsid w:val="006C7178"/>
    <w:rsid w:val="006C79D2"/>
    <w:rsid w:val="006C7CB7"/>
    <w:rsid w:val="006C7F29"/>
    <w:rsid w:val="006D1CCD"/>
    <w:rsid w:val="006D2B43"/>
    <w:rsid w:val="006D309A"/>
    <w:rsid w:val="006D6ACA"/>
    <w:rsid w:val="006D6BAA"/>
    <w:rsid w:val="006D7D40"/>
    <w:rsid w:val="006E06BA"/>
    <w:rsid w:val="006E0CFC"/>
    <w:rsid w:val="006E5A1F"/>
    <w:rsid w:val="006E5D51"/>
    <w:rsid w:val="006E5E0E"/>
    <w:rsid w:val="006E670D"/>
    <w:rsid w:val="006E73E7"/>
    <w:rsid w:val="006F0178"/>
    <w:rsid w:val="006F0239"/>
    <w:rsid w:val="006F0913"/>
    <w:rsid w:val="006F0AF4"/>
    <w:rsid w:val="006F1D43"/>
    <w:rsid w:val="006F2149"/>
    <w:rsid w:val="006F21C6"/>
    <w:rsid w:val="006F24BC"/>
    <w:rsid w:val="006F2721"/>
    <w:rsid w:val="006F2B67"/>
    <w:rsid w:val="006F2CB8"/>
    <w:rsid w:val="006F2EC5"/>
    <w:rsid w:val="006F322D"/>
    <w:rsid w:val="006F3D9A"/>
    <w:rsid w:val="006F42AE"/>
    <w:rsid w:val="006F525E"/>
    <w:rsid w:val="006F583A"/>
    <w:rsid w:val="006F585A"/>
    <w:rsid w:val="006F5A93"/>
    <w:rsid w:val="006F5C22"/>
    <w:rsid w:val="006F6B4A"/>
    <w:rsid w:val="006F6BF7"/>
    <w:rsid w:val="0070093A"/>
    <w:rsid w:val="007037BF"/>
    <w:rsid w:val="00703A72"/>
    <w:rsid w:val="007043D4"/>
    <w:rsid w:val="00704970"/>
    <w:rsid w:val="007057B8"/>
    <w:rsid w:val="00705845"/>
    <w:rsid w:val="0071119C"/>
    <w:rsid w:val="0071272D"/>
    <w:rsid w:val="0071284B"/>
    <w:rsid w:val="007132A7"/>
    <w:rsid w:val="00713D02"/>
    <w:rsid w:val="00713DD1"/>
    <w:rsid w:val="00715158"/>
    <w:rsid w:val="00715537"/>
    <w:rsid w:val="00715C6B"/>
    <w:rsid w:val="007164B9"/>
    <w:rsid w:val="00716D79"/>
    <w:rsid w:val="00717306"/>
    <w:rsid w:val="007177E3"/>
    <w:rsid w:val="0071785E"/>
    <w:rsid w:val="00720248"/>
    <w:rsid w:val="00720777"/>
    <w:rsid w:val="007207F6"/>
    <w:rsid w:val="00720B58"/>
    <w:rsid w:val="0072140F"/>
    <w:rsid w:val="00721457"/>
    <w:rsid w:val="007227A4"/>
    <w:rsid w:val="0072286B"/>
    <w:rsid w:val="00722D63"/>
    <w:rsid w:val="00722EE6"/>
    <w:rsid w:val="007230A6"/>
    <w:rsid w:val="0072397C"/>
    <w:rsid w:val="007256EB"/>
    <w:rsid w:val="007258B9"/>
    <w:rsid w:val="00725CF9"/>
    <w:rsid w:val="0072663C"/>
    <w:rsid w:val="00726C3E"/>
    <w:rsid w:val="0072756C"/>
    <w:rsid w:val="00730268"/>
    <w:rsid w:val="00730304"/>
    <w:rsid w:val="007309BF"/>
    <w:rsid w:val="00730CEF"/>
    <w:rsid w:val="00732951"/>
    <w:rsid w:val="007334B3"/>
    <w:rsid w:val="00733606"/>
    <w:rsid w:val="00733943"/>
    <w:rsid w:val="007347BC"/>
    <w:rsid w:val="00734B0E"/>
    <w:rsid w:val="00734E13"/>
    <w:rsid w:val="00734FFE"/>
    <w:rsid w:val="00735498"/>
    <w:rsid w:val="0073571A"/>
    <w:rsid w:val="00735C58"/>
    <w:rsid w:val="00737C50"/>
    <w:rsid w:val="00740B7B"/>
    <w:rsid w:val="0074209D"/>
    <w:rsid w:val="007420DE"/>
    <w:rsid w:val="007425AA"/>
    <w:rsid w:val="00742E9D"/>
    <w:rsid w:val="00742F95"/>
    <w:rsid w:val="007438A5"/>
    <w:rsid w:val="0074398C"/>
    <w:rsid w:val="007452D1"/>
    <w:rsid w:val="0074585E"/>
    <w:rsid w:val="00745BE1"/>
    <w:rsid w:val="0074715C"/>
    <w:rsid w:val="00750099"/>
    <w:rsid w:val="00750634"/>
    <w:rsid w:val="00750861"/>
    <w:rsid w:val="007509B2"/>
    <w:rsid w:val="007511EF"/>
    <w:rsid w:val="00751A73"/>
    <w:rsid w:val="00752323"/>
    <w:rsid w:val="007549B4"/>
    <w:rsid w:val="0075538A"/>
    <w:rsid w:val="00755862"/>
    <w:rsid w:val="00756331"/>
    <w:rsid w:val="007570A3"/>
    <w:rsid w:val="00760AB1"/>
    <w:rsid w:val="007615A6"/>
    <w:rsid w:val="00761792"/>
    <w:rsid w:val="007631B7"/>
    <w:rsid w:val="007631D0"/>
    <w:rsid w:val="00763BCB"/>
    <w:rsid w:val="00764129"/>
    <w:rsid w:val="00765334"/>
    <w:rsid w:val="00765571"/>
    <w:rsid w:val="007661CB"/>
    <w:rsid w:val="00767581"/>
    <w:rsid w:val="007675F2"/>
    <w:rsid w:val="00767CA7"/>
    <w:rsid w:val="00770927"/>
    <w:rsid w:val="00772B8B"/>
    <w:rsid w:val="0077310D"/>
    <w:rsid w:val="007735D4"/>
    <w:rsid w:val="00774276"/>
    <w:rsid w:val="007743E1"/>
    <w:rsid w:val="007746EC"/>
    <w:rsid w:val="00774EDC"/>
    <w:rsid w:val="0077593E"/>
    <w:rsid w:val="00775D7F"/>
    <w:rsid w:val="00776382"/>
    <w:rsid w:val="00776420"/>
    <w:rsid w:val="00776967"/>
    <w:rsid w:val="00776E83"/>
    <w:rsid w:val="007774E3"/>
    <w:rsid w:val="0077758D"/>
    <w:rsid w:val="007805F6"/>
    <w:rsid w:val="0078068D"/>
    <w:rsid w:val="0078086F"/>
    <w:rsid w:val="0078091D"/>
    <w:rsid w:val="00780DF3"/>
    <w:rsid w:val="0078143C"/>
    <w:rsid w:val="0078166A"/>
    <w:rsid w:val="00783283"/>
    <w:rsid w:val="00783F77"/>
    <w:rsid w:val="00783FD7"/>
    <w:rsid w:val="007854E5"/>
    <w:rsid w:val="0078557C"/>
    <w:rsid w:val="00785997"/>
    <w:rsid w:val="00786630"/>
    <w:rsid w:val="0078670A"/>
    <w:rsid w:val="007867BC"/>
    <w:rsid w:val="007868C4"/>
    <w:rsid w:val="00786FE0"/>
    <w:rsid w:val="0078705E"/>
    <w:rsid w:val="00787672"/>
    <w:rsid w:val="00787DEF"/>
    <w:rsid w:val="00787E74"/>
    <w:rsid w:val="00790256"/>
    <w:rsid w:val="007908AA"/>
    <w:rsid w:val="00790D04"/>
    <w:rsid w:val="00791638"/>
    <w:rsid w:val="00792D46"/>
    <w:rsid w:val="00793625"/>
    <w:rsid w:val="00794841"/>
    <w:rsid w:val="00796CC8"/>
    <w:rsid w:val="007A0181"/>
    <w:rsid w:val="007A0566"/>
    <w:rsid w:val="007A0F04"/>
    <w:rsid w:val="007A1AF8"/>
    <w:rsid w:val="007A20FA"/>
    <w:rsid w:val="007A26AE"/>
    <w:rsid w:val="007A2A4C"/>
    <w:rsid w:val="007A3992"/>
    <w:rsid w:val="007A4949"/>
    <w:rsid w:val="007A4979"/>
    <w:rsid w:val="007A4F1C"/>
    <w:rsid w:val="007A53DB"/>
    <w:rsid w:val="007A55FB"/>
    <w:rsid w:val="007A5A8A"/>
    <w:rsid w:val="007A5F31"/>
    <w:rsid w:val="007A6A76"/>
    <w:rsid w:val="007A6F8A"/>
    <w:rsid w:val="007A7393"/>
    <w:rsid w:val="007B09FD"/>
    <w:rsid w:val="007B0A7C"/>
    <w:rsid w:val="007B0BAC"/>
    <w:rsid w:val="007B128F"/>
    <w:rsid w:val="007B15C4"/>
    <w:rsid w:val="007B15D9"/>
    <w:rsid w:val="007B1AFF"/>
    <w:rsid w:val="007B2222"/>
    <w:rsid w:val="007B26D7"/>
    <w:rsid w:val="007B2714"/>
    <w:rsid w:val="007B2ABA"/>
    <w:rsid w:val="007B2FE7"/>
    <w:rsid w:val="007B3037"/>
    <w:rsid w:val="007B3085"/>
    <w:rsid w:val="007B3ABF"/>
    <w:rsid w:val="007B60A9"/>
    <w:rsid w:val="007B6A55"/>
    <w:rsid w:val="007B76E7"/>
    <w:rsid w:val="007B7CDE"/>
    <w:rsid w:val="007B7CFE"/>
    <w:rsid w:val="007C0501"/>
    <w:rsid w:val="007C105B"/>
    <w:rsid w:val="007C19A3"/>
    <w:rsid w:val="007C20C0"/>
    <w:rsid w:val="007C22DB"/>
    <w:rsid w:val="007C2450"/>
    <w:rsid w:val="007C272F"/>
    <w:rsid w:val="007C2B8A"/>
    <w:rsid w:val="007C364E"/>
    <w:rsid w:val="007C3BF4"/>
    <w:rsid w:val="007C4058"/>
    <w:rsid w:val="007C55E5"/>
    <w:rsid w:val="007C64F3"/>
    <w:rsid w:val="007C7DB0"/>
    <w:rsid w:val="007C7E6B"/>
    <w:rsid w:val="007D0B0E"/>
    <w:rsid w:val="007D0BCB"/>
    <w:rsid w:val="007D2098"/>
    <w:rsid w:val="007D274E"/>
    <w:rsid w:val="007D3424"/>
    <w:rsid w:val="007D3E5D"/>
    <w:rsid w:val="007D45FC"/>
    <w:rsid w:val="007D4A71"/>
    <w:rsid w:val="007D5D27"/>
    <w:rsid w:val="007D65E9"/>
    <w:rsid w:val="007E0C35"/>
    <w:rsid w:val="007E1EC3"/>
    <w:rsid w:val="007E2B3F"/>
    <w:rsid w:val="007E2C59"/>
    <w:rsid w:val="007E3C5C"/>
    <w:rsid w:val="007E3F45"/>
    <w:rsid w:val="007E3FDC"/>
    <w:rsid w:val="007E4145"/>
    <w:rsid w:val="007E4487"/>
    <w:rsid w:val="007E4BF1"/>
    <w:rsid w:val="007E4EB9"/>
    <w:rsid w:val="007E509B"/>
    <w:rsid w:val="007E5238"/>
    <w:rsid w:val="007E6490"/>
    <w:rsid w:val="007E6CA9"/>
    <w:rsid w:val="007E6D0E"/>
    <w:rsid w:val="007E7096"/>
    <w:rsid w:val="007E7E5F"/>
    <w:rsid w:val="007F0B8A"/>
    <w:rsid w:val="007F166E"/>
    <w:rsid w:val="007F29F2"/>
    <w:rsid w:val="007F2B3A"/>
    <w:rsid w:val="007F3A33"/>
    <w:rsid w:val="007F41D7"/>
    <w:rsid w:val="007F518F"/>
    <w:rsid w:val="007F5B16"/>
    <w:rsid w:val="007F5E83"/>
    <w:rsid w:val="007F73E3"/>
    <w:rsid w:val="007F7401"/>
    <w:rsid w:val="00800AC8"/>
    <w:rsid w:val="00800DC6"/>
    <w:rsid w:val="008010FA"/>
    <w:rsid w:val="0080192E"/>
    <w:rsid w:val="00801D7D"/>
    <w:rsid w:val="008020FC"/>
    <w:rsid w:val="0080248A"/>
    <w:rsid w:val="00802B4B"/>
    <w:rsid w:val="008031B5"/>
    <w:rsid w:val="00804026"/>
    <w:rsid w:val="00804510"/>
    <w:rsid w:val="00804A52"/>
    <w:rsid w:val="0080583E"/>
    <w:rsid w:val="00806FE8"/>
    <w:rsid w:val="0080723F"/>
    <w:rsid w:val="008103DA"/>
    <w:rsid w:val="00810EA7"/>
    <w:rsid w:val="008120F4"/>
    <w:rsid w:val="0081244B"/>
    <w:rsid w:val="00812736"/>
    <w:rsid w:val="00812A1E"/>
    <w:rsid w:val="008141BF"/>
    <w:rsid w:val="00814D22"/>
    <w:rsid w:val="00814D3C"/>
    <w:rsid w:val="00815A85"/>
    <w:rsid w:val="00815DAC"/>
    <w:rsid w:val="00816025"/>
    <w:rsid w:val="00816092"/>
    <w:rsid w:val="008161F1"/>
    <w:rsid w:val="00816AC5"/>
    <w:rsid w:val="00816EB8"/>
    <w:rsid w:val="00816F6C"/>
    <w:rsid w:val="00817AE8"/>
    <w:rsid w:val="008200AC"/>
    <w:rsid w:val="00820BB2"/>
    <w:rsid w:val="00820C54"/>
    <w:rsid w:val="008216B4"/>
    <w:rsid w:val="00822420"/>
    <w:rsid w:val="0082337C"/>
    <w:rsid w:val="00823FE1"/>
    <w:rsid w:val="00824719"/>
    <w:rsid w:val="00824EDE"/>
    <w:rsid w:val="00825A1C"/>
    <w:rsid w:val="00830ACA"/>
    <w:rsid w:val="008324A5"/>
    <w:rsid w:val="008326C8"/>
    <w:rsid w:val="008327F9"/>
    <w:rsid w:val="0083289D"/>
    <w:rsid w:val="008332AF"/>
    <w:rsid w:val="0083366B"/>
    <w:rsid w:val="00833ACD"/>
    <w:rsid w:val="00833E8F"/>
    <w:rsid w:val="008341D8"/>
    <w:rsid w:val="0083529E"/>
    <w:rsid w:val="00835C1A"/>
    <w:rsid w:val="00836799"/>
    <w:rsid w:val="0083680D"/>
    <w:rsid w:val="0083754D"/>
    <w:rsid w:val="008407B3"/>
    <w:rsid w:val="008411E3"/>
    <w:rsid w:val="00842D24"/>
    <w:rsid w:val="00842EB8"/>
    <w:rsid w:val="008433E1"/>
    <w:rsid w:val="00844680"/>
    <w:rsid w:val="00844889"/>
    <w:rsid w:val="0084666F"/>
    <w:rsid w:val="008468E5"/>
    <w:rsid w:val="00846DB5"/>
    <w:rsid w:val="00847140"/>
    <w:rsid w:val="0084768A"/>
    <w:rsid w:val="0084768F"/>
    <w:rsid w:val="00847D84"/>
    <w:rsid w:val="008507ED"/>
    <w:rsid w:val="00850C55"/>
    <w:rsid w:val="00852F39"/>
    <w:rsid w:val="008550C8"/>
    <w:rsid w:val="0085562B"/>
    <w:rsid w:val="0085622D"/>
    <w:rsid w:val="00856BD2"/>
    <w:rsid w:val="008605BF"/>
    <w:rsid w:val="008614D0"/>
    <w:rsid w:val="00861A39"/>
    <w:rsid w:val="00861DEF"/>
    <w:rsid w:val="008620CA"/>
    <w:rsid w:val="008626C5"/>
    <w:rsid w:val="00863161"/>
    <w:rsid w:val="00863170"/>
    <w:rsid w:val="0086353E"/>
    <w:rsid w:val="0086380D"/>
    <w:rsid w:val="008639E9"/>
    <w:rsid w:val="00864E1C"/>
    <w:rsid w:val="00865066"/>
    <w:rsid w:val="008651F9"/>
    <w:rsid w:val="008652A1"/>
    <w:rsid w:val="008655DF"/>
    <w:rsid w:val="0086605D"/>
    <w:rsid w:val="008664C6"/>
    <w:rsid w:val="008670FA"/>
    <w:rsid w:val="00870640"/>
    <w:rsid w:val="00870D6D"/>
    <w:rsid w:val="008723D4"/>
    <w:rsid w:val="00872D8D"/>
    <w:rsid w:val="0087346D"/>
    <w:rsid w:val="00874D98"/>
    <w:rsid w:val="00875626"/>
    <w:rsid w:val="00876C7B"/>
    <w:rsid w:val="00877149"/>
    <w:rsid w:val="00877569"/>
    <w:rsid w:val="00877FA9"/>
    <w:rsid w:val="00881FA9"/>
    <w:rsid w:val="0088230C"/>
    <w:rsid w:val="00882617"/>
    <w:rsid w:val="00882829"/>
    <w:rsid w:val="00882881"/>
    <w:rsid w:val="0088298E"/>
    <w:rsid w:val="008829EC"/>
    <w:rsid w:val="00883166"/>
    <w:rsid w:val="00884173"/>
    <w:rsid w:val="008858D1"/>
    <w:rsid w:val="00885CD6"/>
    <w:rsid w:val="00885EE1"/>
    <w:rsid w:val="00885FA5"/>
    <w:rsid w:val="00886891"/>
    <w:rsid w:val="00886AA7"/>
    <w:rsid w:val="00886D05"/>
    <w:rsid w:val="00886D9A"/>
    <w:rsid w:val="008877B6"/>
    <w:rsid w:val="00887CA0"/>
    <w:rsid w:val="0089099B"/>
    <w:rsid w:val="00891BB0"/>
    <w:rsid w:val="00891C54"/>
    <w:rsid w:val="00891D14"/>
    <w:rsid w:val="0089532C"/>
    <w:rsid w:val="008965EF"/>
    <w:rsid w:val="00896E0F"/>
    <w:rsid w:val="0089727D"/>
    <w:rsid w:val="008972D0"/>
    <w:rsid w:val="00897C2A"/>
    <w:rsid w:val="008A069E"/>
    <w:rsid w:val="008A0710"/>
    <w:rsid w:val="008A0F03"/>
    <w:rsid w:val="008A1675"/>
    <w:rsid w:val="008A21F8"/>
    <w:rsid w:val="008A27AE"/>
    <w:rsid w:val="008A294D"/>
    <w:rsid w:val="008A2EC6"/>
    <w:rsid w:val="008A2F0E"/>
    <w:rsid w:val="008A3F36"/>
    <w:rsid w:val="008A52B2"/>
    <w:rsid w:val="008A5366"/>
    <w:rsid w:val="008A54B8"/>
    <w:rsid w:val="008A5AD0"/>
    <w:rsid w:val="008A7D1F"/>
    <w:rsid w:val="008B0177"/>
    <w:rsid w:val="008B11C7"/>
    <w:rsid w:val="008B1516"/>
    <w:rsid w:val="008B257F"/>
    <w:rsid w:val="008B2F00"/>
    <w:rsid w:val="008B2F95"/>
    <w:rsid w:val="008B306E"/>
    <w:rsid w:val="008B3FDE"/>
    <w:rsid w:val="008B4677"/>
    <w:rsid w:val="008B4F26"/>
    <w:rsid w:val="008B5568"/>
    <w:rsid w:val="008B5825"/>
    <w:rsid w:val="008B59BC"/>
    <w:rsid w:val="008B5D9B"/>
    <w:rsid w:val="008B614B"/>
    <w:rsid w:val="008B6810"/>
    <w:rsid w:val="008B6E2A"/>
    <w:rsid w:val="008B71CB"/>
    <w:rsid w:val="008B7F02"/>
    <w:rsid w:val="008C021C"/>
    <w:rsid w:val="008C04BD"/>
    <w:rsid w:val="008C0548"/>
    <w:rsid w:val="008C055D"/>
    <w:rsid w:val="008C0AA8"/>
    <w:rsid w:val="008C0EEB"/>
    <w:rsid w:val="008C22A5"/>
    <w:rsid w:val="008C3347"/>
    <w:rsid w:val="008C364F"/>
    <w:rsid w:val="008C3F2E"/>
    <w:rsid w:val="008C3F80"/>
    <w:rsid w:val="008C405F"/>
    <w:rsid w:val="008C42BF"/>
    <w:rsid w:val="008C59BE"/>
    <w:rsid w:val="008C5A74"/>
    <w:rsid w:val="008D0138"/>
    <w:rsid w:val="008D1146"/>
    <w:rsid w:val="008D1346"/>
    <w:rsid w:val="008D1558"/>
    <w:rsid w:val="008D17C1"/>
    <w:rsid w:val="008D26EA"/>
    <w:rsid w:val="008D2BC7"/>
    <w:rsid w:val="008D31A5"/>
    <w:rsid w:val="008D42E2"/>
    <w:rsid w:val="008D58B6"/>
    <w:rsid w:val="008D5982"/>
    <w:rsid w:val="008D6BD7"/>
    <w:rsid w:val="008D6F58"/>
    <w:rsid w:val="008D775B"/>
    <w:rsid w:val="008D7B53"/>
    <w:rsid w:val="008D7D25"/>
    <w:rsid w:val="008E02F1"/>
    <w:rsid w:val="008E0C84"/>
    <w:rsid w:val="008E1100"/>
    <w:rsid w:val="008E18D3"/>
    <w:rsid w:val="008E2609"/>
    <w:rsid w:val="008E2A38"/>
    <w:rsid w:val="008E2AA2"/>
    <w:rsid w:val="008E2C1D"/>
    <w:rsid w:val="008E31F9"/>
    <w:rsid w:val="008E3813"/>
    <w:rsid w:val="008E426C"/>
    <w:rsid w:val="008E56A0"/>
    <w:rsid w:val="008E5982"/>
    <w:rsid w:val="008E5DE6"/>
    <w:rsid w:val="008E6381"/>
    <w:rsid w:val="008E659A"/>
    <w:rsid w:val="008E68D6"/>
    <w:rsid w:val="008E6C57"/>
    <w:rsid w:val="008E70DC"/>
    <w:rsid w:val="008E7475"/>
    <w:rsid w:val="008F01B7"/>
    <w:rsid w:val="008F39BF"/>
    <w:rsid w:val="008F45CD"/>
    <w:rsid w:val="008F4A0F"/>
    <w:rsid w:val="008F5FEA"/>
    <w:rsid w:val="008F622A"/>
    <w:rsid w:val="008F632F"/>
    <w:rsid w:val="00900738"/>
    <w:rsid w:val="00900739"/>
    <w:rsid w:val="0090196D"/>
    <w:rsid w:val="00901AFE"/>
    <w:rsid w:val="00901D77"/>
    <w:rsid w:val="009032A3"/>
    <w:rsid w:val="0090400A"/>
    <w:rsid w:val="00904012"/>
    <w:rsid w:val="00904307"/>
    <w:rsid w:val="00905732"/>
    <w:rsid w:val="00905F5A"/>
    <w:rsid w:val="00906029"/>
    <w:rsid w:val="00907957"/>
    <w:rsid w:val="00907A37"/>
    <w:rsid w:val="00907AD1"/>
    <w:rsid w:val="00907B21"/>
    <w:rsid w:val="00910039"/>
    <w:rsid w:val="00911701"/>
    <w:rsid w:val="00911B8B"/>
    <w:rsid w:val="00911E88"/>
    <w:rsid w:val="009128EC"/>
    <w:rsid w:val="0091327D"/>
    <w:rsid w:val="00913823"/>
    <w:rsid w:val="00913E08"/>
    <w:rsid w:val="00914629"/>
    <w:rsid w:val="00914CB1"/>
    <w:rsid w:val="00914E85"/>
    <w:rsid w:val="00914F2E"/>
    <w:rsid w:val="00915A8B"/>
    <w:rsid w:val="00915A91"/>
    <w:rsid w:val="00915C08"/>
    <w:rsid w:val="009162AE"/>
    <w:rsid w:val="00916DAB"/>
    <w:rsid w:val="00917416"/>
    <w:rsid w:val="00920BB3"/>
    <w:rsid w:val="009224A8"/>
    <w:rsid w:val="0092292A"/>
    <w:rsid w:val="009232AD"/>
    <w:rsid w:val="009235BB"/>
    <w:rsid w:val="00924266"/>
    <w:rsid w:val="00924ECF"/>
    <w:rsid w:val="0092506E"/>
    <w:rsid w:val="00926474"/>
    <w:rsid w:val="00926624"/>
    <w:rsid w:val="00926D88"/>
    <w:rsid w:val="009274FE"/>
    <w:rsid w:val="00927D04"/>
    <w:rsid w:val="00927DEC"/>
    <w:rsid w:val="00927E34"/>
    <w:rsid w:val="00930009"/>
    <w:rsid w:val="00931590"/>
    <w:rsid w:val="009316AF"/>
    <w:rsid w:val="00932495"/>
    <w:rsid w:val="00932594"/>
    <w:rsid w:val="0093335A"/>
    <w:rsid w:val="009339AD"/>
    <w:rsid w:val="00935F9D"/>
    <w:rsid w:val="009373C3"/>
    <w:rsid w:val="00937E75"/>
    <w:rsid w:val="00937F6C"/>
    <w:rsid w:val="0094059F"/>
    <w:rsid w:val="00940706"/>
    <w:rsid w:val="00940B96"/>
    <w:rsid w:val="00940BAD"/>
    <w:rsid w:val="00940CEB"/>
    <w:rsid w:val="0094116C"/>
    <w:rsid w:val="0094149F"/>
    <w:rsid w:val="009415FA"/>
    <w:rsid w:val="00941A82"/>
    <w:rsid w:val="00941D64"/>
    <w:rsid w:val="00942064"/>
    <w:rsid w:val="009422B8"/>
    <w:rsid w:val="00942679"/>
    <w:rsid w:val="00942D62"/>
    <w:rsid w:val="00943411"/>
    <w:rsid w:val="009435CF"/>
    <w:rsid w:val="00943915"/>
    <w:rsid w:val="009447A7"/>
    <w:rsid w:val="009448E2"/>
    <w:rsid w:val="00944CB9"/>
    <w:rsid w:val="00944E64"/>
    <w:rsid w:val="00946613"/>
    <w:rsid w:val="00946D16"/>
    <w:rsid w:val="00947091"/>
    <w:rsid w:val="009470EE"/>
    <w:rsid w:val="009472FD"/>
    <w:rsid w:val="00947ABB"/>
    <w:rsid w:val="00950EB8"/>
    <w:rsid w:val="009514D9"/>
    <w:rsid w:val="009516C6"/>
    <w:rsid w:val="009519C1"/>
    <w:rsid w:val="00952645"/>
    <w:rsid w:val="00953D7F"/>
    <w:rsid w:val="00954CDD"/>
    <w:rsid w:val="00954DF4"/>
    <w:rsid w:val="0095503F"/>
    <w:rsid w:val="00955058"/>
    <w:rsid w:val="00956BE5"/>
    <w:rsid w:val="00957A28"/>
    <w:rsid w:val="00961DD0"/>
    <w:rsid w:val="00962FEA"/>
    <w:rsid w:val="009633DC"/>
    <w:rsid w:val="00964710"/>
    <w:rsid w:val="0096518B"/>
    <w:rsid w:val="00965BD5"/>
    <w:rsid w:val="00966102"/>
    <w:rsid w:val="0096614B"/>
    <w:rsid w:val="00966174"/>
    <w:rsid w:val="00967588"/>
    <w:rsid w:val="009675C9"/>
    <w:rsid w:val="0096797C"/>
    <w:rsid w:val="00967C1F"/>
    <w:rsid w:val="009707CC"/>
    <w:rsid w:val="009707D3"/>
    <w:rsid w:val="009712D8"/>
    <w:rsid w:val="009719EE"/>
    <w:rsid w:val="00971DE1"/>
    <w:rsid w:val="00971EEE"/>
    <w:rsid w:val="00971FB3"/>
    <w:rsid w:val="009720C3"/>
    <w:rsid w:val="009723C0"/>
    <w:rsid w:val="00973C3A"/>
    <w:rsid w:val="00974BE0"/>
    <w:rsid w:val="00974EAE"/>
    <w:rsid w:val="00974F89"/>
    <w:rsid w:val="00974F95"/>
    <w:rsid w:val="0097545B"/>
    <w:rsid w:val="00975B8E"/>
    <w:rsid w:val="009768DF"/>
    <w:rsid w:val="00976F70"/>
    <w:rsid w:val="009778E0"/>
    <w:rsid w:val="00980056"/>
    <w:rsid w:val="009803DB"/>
    <w:rsid w:val="00980FEC"/>
    <w:rsid w:val="00981385"/>
    <w:rsid w:val="0098146D"/>
    <w:rsid w:val="00981C5B"/>
    <w:rsid w:val="0098268B"/>
    <w:rsid w:val="00984995"/>
    <w:rsid w:val="00985096"/>
    <w:rsid w:val="009852EC"/>
    <w:rsid w:val="009859B0"/>
    <w:rsid w:val="00986310"/>
    <w:rsid w:val="00986F2C"/>
    <w:rsid w:val="00986F7E"/>
    <w:rsid w:val="00987A27"/>
    <w:rsid w:val="00987B59"/>
    <w:rsid w:val="00987C0E"/>
    <w:rsid w:val="00987C42"/>
    <w:rsid w:val="00987F6B"/>
    <w:rsid w:val="0099047D"/>
    <w:rsid w:val="00990FA0"/>
    <w:rsid w:val="0099127B"/>
    <w:rsid w:val="00991656"/>
    <w:rsid w:val="00991DF5"/>
    <w:rsid w:val="00992593"/>
    <w:rsid w:val="009930DE"/>
    <w:rsid w:val="00994BB7"/>
    <w:rsid w:val="0099503A"/>
    <w:rsid w:val="009950F9"/>
    <w:rsid w:val="00995929"/>
    <w:rsid w:val="00996188"/>
    <w:rsid w:val="009962E1"/>
    <w:rsid w:val="009963B1"/>
    <w:rsid w:val="0099649E"/>
    <w:rsid w:val="00996AC5"/>
    <w:rsid w:val="00997D95"/>
    <w:rsid w:val="00997FAC"/>
    <w:rsid w:val="009A10FF"/>
    <w:rsid w:val="009A321D"/>
    <w:rsid w:val="009A3879"/>
    <w:rsid w:val="009A46E3"/>
    <w:rsid w:val="009A494A"/>
    <w:rsid w:val="009A4CFA"/>
    <w:rsid w:val="009A503C"/>
    <w:rsid w:val="009A50FB"/>
    <w:rsid w:val="009A510B"/>
    <w:rsid w:val="009A5170"/>
    <w:rsid w:val="009A6302"/>
    <w:rsid w:val="009A688C"/>
    <w:rsid w:val="009A7F77"/>
    <w:rsid w:val="009B0C20"/>
    <w:rsid w:val="009B1678"/>
    <w:rsid w:val="009B1D8F"/>
    <w:rsid w:val="009B1DF5"/>
    <w:rsid w:val="009B2026"/>
    <w:rsid w:val="009B20F6"/>
    <w:rsid w:val="009B22B8"/>
    <w:rsid w:val="009B312F"/>
    <w:rsid w:val="009B3979"/>
    <w:rsid w:val="009B3D79"/>
    <w:rsid w:val="009B5012"/>
    <w:rsid w:val="009B552F"/>
    <w:rsid w:val="009B5817"/>
    <w:rsid w:val="009B5DD8"/>
    <w:rsid w:val="009B647F"/>
    <w:rsid w:val="009B67A4"/>
    <w:rsid w:val="009C054A"/>
    <w:rsid w:val="009C13D1"/>
    <w:rsid w:val="009C16B0"/>
    <w:rsid w:val="009C1846"/>
    <w:rsid w:val="009C2082"/>
    <w:rsid w:val="009C20D0"/>
    <w:rsid w:val="009C22F5"/>
    <w:rsid w:val="009C354E"/>
    <w:rsid w:val="009C380D"/>
    <w:rsid w:val="009C3EE7"/>
    <w:rsid w:val="009C455E"/>
    <w:rsid w:val="009C52B2"/>
    <w:rsid w:val="009C5BE4"/>
    <w:rsid w:val="009C5FBB"/>
    <w:rsid w:val="009C6376"/>
    <w:rsid w:val="009C7047"/>
    <w:rsid w:val="009D1300"/>
    <w:rsid w:val="009D13EC"/>
    <w:rsid w:val="009D1920"/>
    <w:rsid w:val="009D2893"/>
    <w:rsid w:val="009D3F13"/>
    <w:rsid w:val="009D5FB1"/>
    <w:rsid w:val="009D61D1"/>
    <w:rsid w:val="009D7D36"/>
    <w:rsid w:val="009E1092"/>
    <w:rsid w:val="009E1137"/>
    <w:rsid w:val="009E1196"/>
    <w:rsid w:val="009E28D6"/>
    <w:rsid w:val="009E3164"/>
    <w:rsid w:val="009E33E8"/>
    <w:rsid w:val="009E37B5"/>
    <w:rsid w:val="009E5146"/>
    <w:rsid w:val="009E52D1"/>
    <w:rsid w:val="009E582C"/>
    <w:rsid w:val="009E5CA3"/>
    <w:rsid w:val="009E6770"/>
    <w:rsid w:val="009F05A4"/>
    <w:rsid w:val="009F0FB6"/>
    <w:rsid w:val="009F142D"/>
    <w:rsid w:val="009F478B"/>
    <w:rsid w:val="009F5124"/>
    <w:rsid w:val="009F55ED"/>
    <w:rsid w:val="009F5D11"/>
    <w:rsid w:val="009F61E6"/>
    <w:rsid w:val="009F674A"/>
    <w:rsid w:val="009F6945"/>
    <w:rsid w:val="009F71BA"/>
    <w:rsid w:val="009F7475"/>
    <w:rsid w:val="009F787F"/>
    <w:rsid w:val="00A00D4C"/>
    <w:rsid w:val="00A01004"/>
    <w:rsid w:val="00A01A1D"/>
    <w:rsid w:val="00A025CA"/>
    <w:rsid w:val="00A02AA8"/>
    <w:rsid w:val="00A03A07"/>
    <w:rsid w:val="00A04392"/>
    <w:rsid w:val="00A0522E"/>
    <w:rsid w:val="00A0550F"/>
    <w:rsid w:val="00A10A37"/>
    <w:rsid w:val="00A10FB6"/>
    <w:rsid w:val="00A1116E"/>
    <w:rsid w:val="00A1119C"/>
    <w:rsid w:val="00A11E61"/>
    <w:rsid w:val="00A12D5E"/>
    <w:rsid w:val="00A135EA"/>
    <w:rsid w:val="00A13E11"/>
    <w:rsid w:val="00A1513E"/>
    <w:rsid w:val="00A16CA7"/>
    <w:rsid w:val="00A170B3"/>
    <w:rsid w:val="00A1722D"/>
    <w:rsid w:val="00A17351"/>
    <w:rsid w:val="00A17B62"/>
    <w:rsid w:val="00A200D0"/>
    <w:rsid w:val="00A20391"/>
    <w:rsid w:val="00A21256"/>
    <w:rsid w:val="00A21271"/>
    <w:rsid w:val="00A215A9"/>
    <w:rsid w:val="00A216D7"/>
    <w:rsid w:val="00A222C8"/>
    <w:rsid w:val="00A2259B"/>
    <w:rsid w:val="00A2322A"/>
    <w:rsid w:val="00A239D3"/>
    <w:rsid w:val="00A24880"/>
    <w:rsid w:val="00A252A8"/>
    <w:rsid w:val="00A25B81"/>
    <w:rsid w:val="00A261CD"/>
    <w:rsid w:val="00A26567"/>
    <w:rsid w:val="00A2743D"/>
    <w:rsid w:val="00A2756E"/>
    <w:rsid w:val="00A307EB"/>
    <w:rsid w:val="00A31080"/>
    <w:rsid w:val="00A32D90"/>
    <w:rsid w:val="00A334F4"/>
    <w:rsid w:val="00A339BB"/>
    <w:rsid w:val="00A33A47"/>
    <w:rsid w:val="00A33AF8"/>
    <w:rsid w:val="00A33E62"/>
    <w:rsid w:val="00A34CD8"/>
    <w:rsid w:val="00A35BA3"/>
    <w:rsid w:val="00A3664F"/>
    <w:rsid w:val="00A3705B"/>
    <w:rsid w:val="00A370A2"/>
    <w:rsid w:val="00A4023B"/>
    <w:rsid w:val="00A41337"/>
    <w:rsid w:val="00A414E3"/>
    <w:rsid w:val="00A41F3B"/>
    <w:rsid w:val="00A4346F"/>
    <w:rsid w:val="00A43472"/>
    <w:rsid w:val="00A43476"/>
    <w:rsid w:val="00A43994"/>
    <w:rsid w:val="00A43A9C"/>
    <w:rsid w:val="00A44E4C"/>
    <w:rsid w:val="00A45C67"/>
    <w:rsid w:val="00A47545"/>
    <w:rsid w:val="00A47ACB"/>
    <w:rsid w:val="00A47EC3"/>
    <w:rsid w:val="00A51337"/>
    <w:rsid w:val="00A51425"/>
    <w:rsid w:val="00A5322B"/>
    <w:rsid w:val="00A53CE7"/>
    <w:rsid w:val="00A54DF4"/>
    <w:rsid w:val="00A55433"/>
    <w:rsid w:val="00A55645"/>
    <w:rsid w:val="00A56EC6"/>
    <w:rsid w:val="00A56FAA"/>
    <w:rsid w:val="00A575AA"/>
    <w:rsid w:val="00A601CB"/>
    <w:rsid w:val="00A6034F"/>
    <w:rsid w:val="00A61914"/>
    <w:rsid w:val="00A61BA3"/>
    <w:rsid w:val="00A624C6"/>
    <w:rsid w:val="00A631CB"/>
    <w:rsid w:val="00A6361F"/>
    <w:rsid w:val="00A636B0"/>
    <w:rsid w:val="00A65374"/>
    <w:rsid w:val="00A66358"/>
    <w:rsid w:val="00A66D11"/>
    <w:rsid w:val="00A66D56"/>
    <w:rsid w:val="00A6766E"/>
    <w:rsid w:val="00A67F97"/>
    <w:rsid w:val="00A70398"/>
    <w:rsid w:val="00A70782"/>
    <w:rsid w:val="00A70C8C"/>
    <w:rsid w:val="00A70D08"/>
    <w:rsid w:val="00A70D5B"/>
    <w:rsid w:val="00A71322"/>
    <w:rsid w:val="00A71BF6"/>
    <w:rsid w:val="00A72264"/>
    <w:rsid w:val="00A73338"/>
    <w:rsid w:val="00A73977"/>
    <w:rsid w:val="00A73D5B"/>
    <w:rsid w:val="00A74554"/>
    <w:rsid w:val="00A74712"/>
    <w:rsid w:val="00A748B3"/>
    <w:rsid w:val="00A750B3"/>
    <w:rsid w:val="00A751C0"/>
    <w:rsid w:val="00A755F3"/>
    <w:rsid w:val="00A75F4B"/>
    <w:rsid w:val="00A77416"/>
    <w:rsid w:val="00A7798B"/>
    <w:rsid w:val="00A77AA4"/>
    <w:rsid w:val="00A8161A"/>
    <w:rsid w:val="00A828A8"/>
    <w:rsid w:val="00A83F78"/>
    <w:rsid w:val="00A84579"/>
    <w:rsid w:val="00A850B0"/>
    <w:rsid w:val="00A8603B"/>
    <w:rsid w:val="00A86A61"/>
    <w:rsid w:val="00A86E5E"/>
    <w:rsid w:val="00A90224"/>
    <w:rsid w:val="00A9145A"/>
    <w:rsid w:val="00A91BA9"/>
    <w:rsid w:val="00A932F7"/>
    <w:rsid w:val="00A9334B"/>
    <w:rsid w:val="00A94D21"/>
    <w:rsid w:val="00A96B8D"/>
    <w:rsid w:val="00A96D06"/>
    <w:rsid w:val="00A97C56"/>
    <w:rsid w:val="00A97E45"/>
    <w:rsid w:val="00AA0AB5"/>
    <w:rsid w:val="00AA121A"/>
    <w:rsid w:val="00AA1A4A"/>
    <w:rsid w:val="00AA1B34"/>
    <w:rsid w:val="00AA1B8B"/>
    <w:rsid w:val="00AA1E3A"/>
    <w:rsid w:val="00AA23FE"/>
    <w:rsid w:val="00AA256F"/>
    <w:rsid w:val="00AA29F7"/>
    <w:rsid w:val="00AA2E09"/>
    <w:rsid w:val="00AA3D67"/>
    <w:rsid w:val="00AA416F"/>
    <w:rsid w:val="00AA4524"/>
    <w:rsid w:val="00AA499B"/>
    <w:rsid w:val="00AA7969"/>
    <w:rsid w:val="00AA7DB1"/>
    <w:rsid w:val="00AB0281"/>
    <w:rsid w:val="00AB1346"/>
    <w:rsid w:val="00AB13CE"/>
    <w:rsid w:val="00AB22BC"/>
    <w:rsid w:val="00AB241E"/>
    <w:rsid w:val="00AB26FD"/>
    <w:rsid w:val="00AB28FD"/>
    <w:rsid w:val="00AB2A26"/>
    <w:rsid w:val="00AB2A65"/>
    <w:rsid w:val="00AB377A"/>
    <w:rsid w:val="00AB3F59"/>
    <w:rsid w:val="00AB4BC1"/>
    <w:rsid w:val="00AB5211"/>
    <w:rsid w:val="00AB53BB"/>
    <w:rsid w:val="00AB555F"/>
    <w:rsid w:val="00AB7314"/>
    <w:rsid w:val="00AB7E9D"/>
    <w:rsid w:val="00AB7F42"/>
    <w:rsid w:val="00AC068F"/>
    <w:rsid w:val="00AC2217"/>
    <w:rsid w:val="00AC39EC"/>
    <w:rsid w:val="00AC3A01"/>
    <w:rsid w:val="00AC3EEA"/>
    <w:rsid w:val="00AC4425"/>
    <w:rsid w:val="00AC4798"/>
    <w:rsid w:val="00AC4E8C"/>
    <w:rsid w:val="00AC537D"/>
    <w:rsid w:val="00AC5FCC"/>
    <w:rsid w:val="00AC61D8"/>
    <w:rsid w:val="00AC6F9F"/>
    <w:rsid w:val="00AC711F"/>
    <w:rsid w:val="00AC7987"/>
    <w:rsid w:val="00AC7D3D"/>
    <w:rsid w:val="00AC7F28"/>
    <w:rsid w:val="00AD09AB"/>
    <w:rsid w:val="00AD0F4A"/>
    <w:rsid w:val="00AD14B6"/>
    <w:rsid w:val="00AD1C36"/>
    <w:rsid w:val="00AD362B"/>
    <w:rsid w:val="00AD3AB9"/>
    <w:rsid w:val="00AD4590"/>
    <w:rsid w:val="00AD4A01"/>
    <w:rsid w:val="00AD500C"/>
    <w:rsid w:val="00AD5237"/>
    <w:rsid w:val="00AD5331"/>
    <w:rsid w:val="00AD5B8F"/>
    <w:rsid w:val="00AD5D2B"/>
    <w:rsid w:val="00AD6865"/>
    <w:rsid w:val="00AD7C08"/>
    <w:rsid w:val="00AE09F1"/>
    <w:rsid w:val="00AE2F81"/>
    <w:rsid w:val="00AE368B"/>
    <w:rsid w:val="00AE3A10"/>
    <w:rsid w:val="00AE4755"/>
    <w:rsid w:val="00AE4A64"/>
    <w:rsid w:val="00AE54A4"/>
    <w:rsid w:val="00AE57F6"/>
    <w:rsid w:val="00AE5F88"/>
    <w:rsid w:val="00AE6C10"/>
    <w:rsid w:val="00AE6CD5"/>
    <w:rsid w:val="00AE7438"/>
    <w:rsid w:val="00AE7AB2"/>
    <w:rsid w:val="00AE7B7D"/>
    <w:rsid w:val="00AF006B"/>
    <w:rsid w:val="00AF09B4"/>
    <w:rsid w:val="00AF0E4D"/>
    <w:rsid w:val="00AF1468"/>
    <w:rsid w:val="00AF1671"/>
    <w:rsid w:val="00AF19E4"/>
    <w:rsid w:val="00AF20DF"/>
    <w:rsid w:val="00AF2702"/>
    <w:rsid w:val="00AF3318"/>
    <w:rsid w:val="00AF3501"/>
    <w:rsid w:val="00AF370F"/>
    <w:rsid w:val="00AF3B59"/>
    <w:rsid w:val="00AF489B"/>
    <w:rsid w:val="00AF4FDD"/>
    <w:rsid w:val="00AF51A9"/>
    <w:rsid w:val="00AF5EA9"/>
    <w:rsid w:val="00AF6109"/>
    <w:rsid w:val="00AF66B6"/>
    <w:rsid w:val="00AF6DFB"/>
    <w:rsid w:val="00B01091"/>
    <w:rsid w:val="00B01C2B"/>
    <w:rsid w:val="00B024AD"/>
    <w:rsid w:val="00B024D5"/>
    <w:rsid w:val="00B02FA1"/>
    <w:rsid w:val="00B03300"/>
    <w:rsid w:val="00B0376D"/>
    <w:rsid w:val="00B05D73"/>
    <w:rsid w:val="00B062CF"/>
    <w:rsid w:val="00B068D1"/>
    <w:rsid w:val="00B07897"/>
    <w:rsid w:val="00B07F82"/>
    <w:rsid w:val="00B11E27"/>
    <w:rsid w:val="00B1204E"/>
    <w:rsid w:val="00B1241E"/>
    <w:rsid w:val="00B12627"/>
    <w:rsid w:val="00B1266A"/>
    <w:rsid w:val="00B1348C"/>
    <w:rsid w:val="00B13E8D"/>
    <w:rsid w:val="00B14AD5"/>
    <w:rsid w:val="00B14E13"/>
    <w:rsid w:val="00B15F30"/>
    <w:rsid w:val="00B1649B"/>
    <w:rsid w:val="00B166A8"/>
    <w:rsid w:val="00B1768E"/>
    <w:rsid w:val="00B20121"/>
    <w:rsid w:val="00B202DD"/>
    <w:rsid w:val="00B21823"/>
    <w:rsid w:val="00B21B2F"/>
    <w:rsid w:val="00B21E7D"/>
    <w:rsid w:val="00B2247B"/>
    <w:rsid w:val="00B22526"/>
    <w:rsid w:val="00B23026"/>
    <w:rsid w:val="00B23297"/>
    <w:rsid w:val="00B24024"/>
    <w:rsid w:val="00B256F8"/>
    <w:rsid w:val="00B25DFA"/>
    <w:rsid w:val="00B26037"/>
    <w:rsid w:val="00B3024A"/>
    <w:rsid w:val="00B30350"/>
    <w:rsid w:val="00B3214F"/>
    <w:rsid w:val="00B3285B"/>
    <w:rsid w:val="00B32EB0"/>
    <w:rsid w:val="00B32FC1"/>
    <w:rsid w:val="00B330A1"/>
    <w:rsid w:val="00B3315B"/>
    <w:rsid w:val="00B33696"/>
    <w:rsid w:val="00B33B0B"/>
    <w:rsid w:val="00B34327"/>
    <w:rsid w:val="00B34519"/>
    <w:rsid w:val="00B35AEB"/>
    <w:rsid w:val="00B36303"/>
    <w:rsid w:val="00B37082"/>
    <w:rsid w:val="00B370E4"/>
    <w:rsid w:val="00B3784C"/>
    <w:rsid w:val="00B40D2D"/>
    <w:rsid w:val="00B40D9B"/>
    <w:rsid w:val="00B42059"/>
    <w:rsid w:val="00B423F5"/>
    <w:rsid w:val="00B439B1"/>
    <w:rsid w:val="00B448EC"/>
    <w:rsid w:val="00B45195"/>
    <w:rsid w:val="00B45388"/>
    <w:rsid w:val="00B45606"/>
    <w:rsid w:val="00B45980"/>
    <w:rsid w:val="00B45D4D"/>
    <w:rsid w:val="00B45DEC"/>
    <w:rsid w:val="00B46501"/>
    <w:rsid w:val="00B4678F"/>
    <w:rsid w:val="00B46AB9"/>
    <w:rsid w:val="00B4749C"/>
    <w:rsid w:val="00B50854"/>
    <w:rsid w:val="00B50A85"/>
    <w:rsid w:val="00B50CDC"/>
    <w:rsid w:val="00B51C80"/>
    <w:rsid w:val="00B5202E"/>
    <w:rsid w:val="00B522D4"/>
    <w:rsid w:val="00B52D5E"/>
    <w:rsid w:val="00B54AB4"/>
    <w:rsid w:val="00B54DCB"/>
    <w:rsid w:val="00B560D5"/>
    <w:rsid w:val="00B561C8"/>
    <w:rsid w:val="00B571E8"/>
    <w:rsid w:val="00B57B1A"/>
    <w:rsid w:val="00B60061"/>
    <w:rsid w:val="00B60654"/>
    <w:rsid w:val="00B609FA"/>
    <w:rsid w:val="00B62C2B"/>
    <w:rsid w:val="00B62EC0"/>
    <w:rsid w:val="00B636BB"/>
    <w:rsid w:val="00B639FC"/>
    <w:rsid w:val="00B63CA9"/>
    <w:rsid w:val="00B6431A"/>
    <w:rsid w:val="00B6458E"/>
    <w:rsid w:val="00B64947"/>
    <w:rsid w:val="00B64975"/>
    <w:rsid w:val="00B65224"/>
    <w:rsid w:val="00B66143"/>
    <w:rsid w:val="00B66D60"/>
    <w:rsid w:val="00B66FCD"/>
    <w:rsid w:val="00B6742C"/>
    <w:rsid w:val="00B6788F"/>
    <w:rsid w:val="00B67D3C"/>
    <w:rsid w:val="00B67F66"/>
    <w:rsid w:val="00B70498"/>
    <w:rsid w:val="00B70557"/>
    <w:rsid w:val="00B70B6A"/>
    <w:rsid w:val="00B71EC2"/>
    <w:rsid w:val="00B71F96"/>
    <w:rsid w:val="00B72C57"/>
    <w:rsid w:val="00B72CDF"/>
    <w:rsid w:val="00B73378"/>
    <w:rsid w:val="00B73470"/>
    <w:rsid w:val="00B73C7A"/>
    <w:rsid w:val="00B74AD1"/>
    <w:rsid w:val="00B74DA5"/>
    <w:rsid w:val="00B75AD2"/>
    <w:rsid w:val="00B76F85"/>
    <w:rsid w:val="00B770B1"/>
    <w:rsid w:val="00B80F57"/>
    <w:rsid w:val="00B8105F"/>
    <w:rsid w:val="00B81BD0"/>
    <w:rsid w:val="00B83127"/>
    <w:rsid w:val="00B83879"/>
    <w:rsid w:val="00B841A2"/>
    <w:rsid w:val="00B84DF0"/>
    <w:rsid w:val="00B8548B"/>
    <w:rsid w:val="00B8619C"/>
    <w:rsid w:val="00B87202"/>
    <w:rsid w:val="00B90551"/>
    <w:rsid w:val="00B929A7"/>
    <w:rsid w:val="00B934AA"/>
    <w:rsid w:val="00B940C5"/>
    <w:rsid w:val="00B952BF"/>
    <w:rsid w:val="00B95F51"/>
    <w:rsid w:val="00B9607E"/>
    <w:rsid w:val="00B96516"/>
    <w:rsid w:val="00B9662D"/>
    <w:rsid w:val="00B967BD"/>
    <w:rsid w:val="00B96A4F"/>
    <w:rsid w:val="00B96BF7"/>
    <w:rsid w:val="00B97198"/>
    <w:rsid w:val="00B97265"/>
    <w:rsid w:val="00B97BFB"/>
    <w:rsid w:val="00BA0208"/>
    <w:rsid w:val="00BA0549"/>
    <w:rsid w:val="00BA11DC"/>
    <w:rsid w:val="00BA1376"/>
    <w:rsid w:val="00BA1FDD"/>
    <w:rsid w:val="00BA2D94"/>
    <w:rsid w:val="00BA2EFE"/>
    <w:rsid w:val="00BA2F4C"/>
    <w:rsid w:val="00BA2FD0"/>
    <w:rsid w:val="00BA35DE"/>
    <w:rsid w:val="00BA4213"/>
    <w:rsid w:val="00BA51BF"/>
    <w:rsid w:val="00BA62D6"/>
    <w:rsid w:val="00BA63E1"/>
    <w:rsid w:val="00BA6FDA"/>
    <w:rsid w:val="00BA7542"/>
    <w:rsid w:val="00BB0189"/>
    <w:rsid w:val="00BB1F6C"/>
    <w:rsid w:val="00BB26CB"/>
    <w:rsid w:val="00BB353C"/>
    <w:rsid w:val="00BB588F"/>
    <w:rsid w:val="00BB5936"/>
    <w:rsid w:val="00BB5BD3"/>
    <w:rsid w:val="00BB64AD"/>
    <w:rsid w:val="00BB771D"/>
    <w:rsid w:val="00BC05BC"/>
    <w:rsid w:val="00BC11D4"/>
    <w:rsid w:val="00BC1A9B"/>
    <w:rsid w:val="00BC1B39"/>
    <w:rsid w:val="00BC24F5"/>
    <w:rsid w:val="00BC2A20"/>
    <w:rsid w:val="00BC2DC1"/>
    <w:rsid w:val="00BC4D3F"/>
    <w:rsid w:val="00BC5597"/>
    <w:rsid w:val="00BC6682"/>
    <w:rsid w:val="00BC68CB"/>
    <w:rsid w:val="00BD0804"/>
    <w:rsid w:val="00BD12D3"/>
    <w:rsid w:val="00BD2FD3"/>
    <w:rsid w:val="00BD3F96"/>
    <w:rsid w:val="00BD4303"/>
    <w:rsid w:val="00BD5722"/>
    <w:rsid w:val="00BD6367"/>
    <w:rsid w:val="00BD73AA"/>
    <w:rsid w:val="00BD7F1C"/>
    <w:rsid w:val="00BE092D"/>
    <w:rsid w:val="00BE0969"/>
    <w:rsid w:val="00BE1303"/>
    <w:rsid w:val="00BE1749"/>
    <w:rsid w:val="00BE1845"/>
    <w:rsid w:val="00BE2331"/>
    <w:rsid w:val="00BE2363"/>
    <w:rsid w:val="00BE2C19"/>
    <w:rsid w:val="00BE4D01"/>
    <w:rsid w:val="00BE5BB6"/>
    <w:rsid w:val="00BE5E84"/>
    <w:rsid w:val="00BE6868"/>
    <w:rsid w:val="00BE72B2"/>
    <w:rsid w:val="00BE7473"/>
    <w:rsid w:val="00BE7AE8"/>
    <w:rsid w:val="00BF05B9"/>
    <w:rsid w:val="00BF175A"/>
    <w:rsid w:val="00BF1BB8"/>
    <w:rsid w:val="00BF24E3"/>
    <w:rsid w:val="00BF28BA"/>
    <w:rsid w:val="00BF2F0B"/>
    <w:rsid w:val="00BF3588"/>
    <w:rsid w:val="00BF3AD7"/>
    <w:rsid w:val="00BF440D"/>
    <w:rsid w:val="00BF45B3"/>
    <w:rsid w:val="00BF4938"/>
    <w:rsid w:val="00BF4DD6"/>
    <w:rsid w:val="00BF4E1D"/>
    <w:rsid w:val="00BF58DB"/>
    <w:rsid w:val="00BF595E"/>
    <w:rsid w:val="00BF5B0C"/>
    <w:rsid w:val="00BF618D"/>
    <w:rsid w:val="00BF63A7"/>
    <w:rsid w:val="00BF6D55"/>
    <w:rsid w:val="00BF6EBA"/>
    <w:rsid w:val="00BF771C"/>
    <w:rsid w:val="00BF7E82"/>
    <w:rsid w:val="00C010E7"/>
    <w:rsid w:val="00C01AD4"/>
    <w:rsid w:val="00C01D38"/>
    <w:rsid w:val="00C027D3"/>
    <w:rsid w:val="00C04774"/>
    <w:rsid w:val="00C059A3"/>
    <w:rsid w:val="00C05D4F"/>
    <w:rsid w:val="00C061ED"/>
    <w:rsid w:val="00C062A4"/>
    <w:rsid w:val="00C0680E"/>
    <w:rsid w:val="00C06848"/>
    <w:rsid w:val="00C06892"/>
    <w:rsid w:val="00C07683"/>
    <w:rsid w:val="00C076D0"/>
    <w:rsid w:val="00C10114"/>
    <w:rsid w:val="00C10601"/>
    <w:rsid w:val="00C109CF"/>
    <w:rsid w:val="00C1105C"/>
    <w:rsid w:val="00C11B0B"/>
    <w:rsid w:val="00C120D1"/>
    <w:rsid w:val="00C12A3B"/>
    <w:rsid w:val="00C14008"/>
    <w:rsid w:val="00C158BC"/>
    <w:rsid w:val="00C16846"/>
    <w:rsid w:val="00C16A58"/>
    <w:rsid w:val="00C16B04"/>
    <w:rsid w:val="00C16BFF"/>
    <w:rsid w:val="00C16E11"/>
    <w:rsid w:val="00C171B4"/>
    <w:rsid w:val="00C17787"/>
    <w:rsid w:val="00C17EDA"/>
    <w:rsid w:val="00C2360C"/>
    <w:rsid w:val="00C239C1"/>
    <w:rsid w:val="00C2408B"/>
    <w:rsid w:val="00C25158"/>
    <w:rsid w:val="00C252A3"/>
    <w:rsid w:val="00C2626C"/>
    <w:rsid w:val="00C2736D"/>
    <w:rsid w:val="00C27768"/>
    <w:rsid w:val="00C27C80"/>
    <w:rsid w:val="00C27F2C"/>
    <w:rsid w:val="00C30138"/>
    <w:rsid w:val="00C3048E"/>
    <w:rsid w:val="00C3072D"/>
    <w:rsid w:val="00C31785"/>
    <w:rsid w:val="00C318AA"/>
    <w:rsid w:val="00C32FDC"/>
    <w:rsid w:val="00C33061"/>
    <w:rsid w:val="00C33EB4"/>
    <w:rsid w:val="00C33FC7"/>
    <w:rsid w:val="00C341C1"/>
    <w:rsid w:val="00C34306"/>
    <w:rsid w:val="00C34D51"/>
    <w:rsid w:val="00C34DA2"/>
    <w:rsid w:val="00C34EF6"/>
    <w:rsid w:val="00C351FC"/>
    <w:rsid w:val="00C35A4F"/>
    <w:rsid w:val="00C4184C"/>
    <w:rsid w:val="00C4249C"/>
    <w:rsid w:val="00C42DA9"/>
    <w:rsid w:val="00C42EF7"/>
    <w:rsid w:val="00C43BED"/>
    <w:rsid w:val="00C43D9E"/>
    <w:rsid w:val="00C43E8B"/>
    <w:rsid w:val="00C440A2"/>
    <w:rsid w:val="00C4512E"/>
    <w:rsid w:val="00C475F4"/>
    <w:rsid w:val="00C50929"/>
    <w:rsid w:val="00C51229"/>
    <w:rsid w:val="00C518B1"/>
    <w:rsid w:val="00C51F14"/>
    <w:rsid w:val="00C5273A"/>
    <w:rsid w:val="00C52A7F"/>
    <w:rsid w:val="00C52E90"/>
    <w:rsid w:val="00C53BB7"/>
    <w:rsid w:val="00C53F38"/>
    <w:rsid w:val="00C5457B"/>
    <w:rsid w:val="00C546B3"/>
    <w:rsid w:val="00C54A24"/>
    <w:rsid w:val="00C5500E"/>
    <w:rsid w:val="00C56276"/>
    <w:rsid w:val="00C56474"/>
    <w:rsid w:val="00C56EEB"/>
    <w:rsid w:val="00C6095A"/>
    <w:rsid w:val="00C60CA1"/>
    <w:rsid w:val="00C60CB7"/>
    <w:rsid w:val="00C60CF6"/>
    <w:rsid w:val="00C62498"/>
    <w:rsid w:val="00C62745"/>
    <w:rsid w:val="00C63075"/>
    <w:rsid w:val="00C630DE"/>
    <w:rsid w:val="00C632D1"/>
    <w:rsid w:val="00C634D5"/>
    <w:rsid w:val="00C6445F"/>
    <w:rsid w:val="00C64AA5"/>
    <w:rsid w:val="00C64F3C"/>
    <w:rsid w:val="00C6623A"/>
    <w:rsid w:val="00C66305"/>
    <w:rsid w:val="00C66AAB"/>
    <w:rsid w:val="00C704A9"/>
    <w:rsid w:val="00C7070A"/>
    <w:rsid w:val="00C71408"/>
    <w:rsid w:val="00C7154F"/>
    <w:rsid w:val="00C71E06"/>
    <w:rsid w:val="00C72069"/>
    <w:rsid w:val="00C7384A"/>
    <w:rsid w:val="00C73CD7"/>
    <w:rsid w:val="00C741B3"/>
    <w:rsid w:val="00C74202"/>
    <w:rsid w:val="00C746CC"/>
    <w:rsid w:val="00C74795"/>
    <w:rsid w:val="00C7523C"/>
    <w:rsid w:val="00C75711"/>
    <w:rsid w:val="00C75739"/>
    <w:rsid w:val="00C76EAF"/>
    <w:rsid w:val="00C77487"/>
    <w:rsid w:val="00C809FB"/>
    <w:rsid w:val="00C81788"/>
    <w:rsid w:val="00C818FE"/>
    <w:rsid w:val="00C81F7A"/>
    <w:rsid w:val="00C830FD"/>
    <w:rsid w:val="00C83460"/>
    <w:rsid w:val="00C8378C"/>
    <w:rsid w:val="00C83963"/>
    <w:rsid w:val="00C8460B"/>
    <w:rsid w:val="00C84BEE"/>
    <w:rsid w:val="00C85010"/>
    <w:rsid w:val="00C85635"/>
    <w:rsid w:val="00C85988"/>
    <w:rsid w:val="00C85A99"/>
    <w:rsid w:val="00C85CAE"/>
    <w:rsid w:val="00C86050"/>
    <w:rsid w:val="00C86494"/>
    <w:rsid w:val="00C86BD9"/>
    <w:rsid w:val="00C86BE1"/>
    <w:rsid w:val="00C87F40"/>
    <w:rsid w:val="00C900CD"/>
    <w:rsid w:val="00C916CF"/>
    <w:rsid w:val="00C9219F"/>
    <w:rsid w:val="00C928E1"/>
    <w:rsid w:val="00C92AD7"/>
    <w:rsid w:val="00C92B6F"/>
    <w:rsid w:val="00C92BE3"/>
    <w:rsid w:val="00C92DE8"/>
    <w:rsid w:val="00C93955"/>
    <w:rsid w:val="00C942FF"/>
    <w:rsid w:val="00C95311"/>
    <w:rsid w:val="00C95672"/>
    <w:rsid w:val="00C958F3"/>
    <w:rsid w:val="00C95C1A"/>
    <w:rsid w:val="00C96CF2"/>
    <w:rsid w:val="00C97BFF"/>
    <w:rsid w:val="00CA0863"/>
    <w:rsid w:val="00CA171A"/>
    <w:rsid w:val="00CA17C4"/>
    <w:rsid w:val="00CA2504"/>
    <w:rsid w:val="00CA333C"/>
    <w:rsid w:val="00CA4A1C"/>
    <w:rsid w:val="00CA4B56"/>
    <w:rsid w:val="00CA5976"/>
    <w:rsid w:val="00CA6100"/>
    <w:rsid w:val="00CA61EF"/>
    <w:rsid w:val="00CA6D71"/>
    <w:rsid w:val="00CA6F78"/>
    <w:rsid w:val="00CA7524"/>
    <w:rsid w:val="00CB0014"/>
    <w:rsid w:val="00CB086B"/>
    <w:rsid w:val="00CB1BE8"/>
    <w:rsid w:val="00CB1ED7"/>
    <w:rsid w:val="00CB2AF9"/>
    <w:rsid w:val="00CB42E0"/>
    <w:rsid w:val="00CB573B"/>
    <w:rsid w:val="00CC0308"/>
    <w:rsid w:val="00CC16E2"/>
    <w:rsid w:val="00CC1DDF"/>
    <w:rsid w:val="00CC2318"/>
    <w:rsid w:val="00CC25EB"/>
    <w:rsid w:val="00CC2745"/>
    <w:rsid w:val="00CC4670"/>
    <w:rsid w:val="00CC4DEC"/>
    <w:rsid w:val="00CC58D0"/>
    <w:rsid w:val="00CC5B2D"/>
    <w:rsid w:val="00CC5C45"/>
    <w:rsid w:val="00CC7634"/>
    <w:rsid w:val="00CC7AAE"/>
    <w:rsid w:val="00CD0082"/>
    <w:rsid w:val="00CD0E3C"/>
    <w:rsid w:val="00CD10BA"/>
    <w:rsid w:val="00CD1B9C"/>
    <w:rsid w:val="00CD264D"/>
    <w:rsid w:val="00CD31DB"/>
    <w:rsid w:val="00CD3854"/>
    <w:rsid w:val="00CD3AF3"/>
    <w:rsid w:val="00CD4995"/>
    <w:rsid w:val="00CD4A91"/>
    <w:rsid w:val="00CD5130"/>
    <w:rsid w:val="00CD60CA"/>
    <w:rsid w:val="00CD6D7D"/>
    <w:rsid w:val="00CE05BC"/>
    <w:rsid w:val="00CE11E0"/>
    <w:rsid w:val="00CE1A54"/>
    <w:rsid w:val="00CE1A72"/>
    <w:rsid w:val="00CE268A"/>
    <w:rsid w:val="00CE2AC0"/>
    <w:rsid w:val="00CE3043"/>
    <w:rsid w:val="00CE3094"/>
    <w:rsid w:val="00CE329C"/>
    <w:rsid w:val="00CE38D7"/>
    <w:rsid w:val="00CE44C0"/>
    <w:rsid w:val="00CE502D"/>
    <w:rsid w:val="00CE569C"/>
    <w:rsid w:val="00CE57B4"/>
    <w:rsid w:val="00CE6700"/>
    <w:rsid w:val="00CE71CF"/>
    <w:rsid w:val="00CF1288"/>
    <w:rsid w:val="00CF15C1"/>
    <w:rsid w:val="00CF293A"/>
    <w:rsid w:val="00CF5D60"/>
    <w:rsid w:val="00CF61CD"/>
    <w:rsid w:val="00CF69DE"/>
    <w:rsid w:val="00CF77F4"/>
    <w:rsid w:val="00CF78BB"/>
    <w:rsid w:val="00CF7DB5"/>
    <w:rsid w:val="00D007AF"/>
    <w:rsid w:val="00D01A0B"/>
    <w:rsid w:val="00D01A20"/>
    <w:rsid w:val="00D0212F"/>
    <w:rsid w:val="00D02D83"/>
    <w:rsid w:val="00D03382"/>
    <w:rsid w:val="00D03CDF"/>
    <w:rsid w:val="00D04C89"/>
    <w:rsid w:val="00D05A26"/>
    <w:rsid w:val="00D062A2"/>
    <w:rsid w:val="00D06378"/>
    <w:rsid w:val="00D067A3"/>
    <w:rsid w:val="00D069AF"/>
    <w:rsid w:val="00D06BDA"/>
    <w:rsid w:val="00D07559"/>
    <w:rsid w:val="00D07C7D"/>
    <w:rsid w:val="00D07C91"/>
    <w:rsid w:val="00D07F41"/>
    <w:rsid w:val="00D10424"/>
    <w:rsid w:val="00D10BED"/>
    <w:rsid w:val="00D11D33"/>
    <w:rsid w:val="00D1249E"/>
    <w:rsid w:val="00D13959"/>
    <w:rsid w:val="00D13EDA"/>
    <w:rsid w:val="00D1424B"/>
    <w:rsid w:val="00D150B4"/>
    <w:rsid w:val="00D155B9"/>
    <w:rsid w:val="00D165B5"/>
    <w:rsid w:val="00D16CFA"/>
    <w:rsid w:val="00D16F47"/>
    <w:rsid w:val="00D174C1"/>
    <w:rsid w:val="00D2039E"/>
    <w:rsid w:val="00D2047D"/>
    <w:rsid w:val="00D208F1"/>
    <w:rsid w:val="00D20D61"/>
    <w:rsid w:val="00D21261"/>
    <w:rsid w:val="00D22635"/>
    <w:rsid w:val="00D24B77"/>
    <w:rsid w:val="00D2506B"/>
    <w:rsid w:val="00D25540"/>
    <w:rsid w:val="00D25910"/>
    <w:rsid w:val="00D25A54"/>
    <w:rsid w:val="00D25E2A"/>
    <w:rsid w:val="00D261DC"/>
    <w:rsid w:val="00D27170"/>
    <w:rsid w:val="00D271FB"/>
    <w:rsid w:val="00D27D0D"/>
    <w:rsid w:val="00D27F87"/>
    <w:rsid w:val="00D309BA"/>
    <w:rsid w:val="00D30D68"/>
    <w:rsid w:val="00D30F7E"/>
    <w:rsid w:val="00D31E0D"/>
    <w:rsid w:val="00D32079"/>
    <w:rsid w:val="00D32545"/>
    <w:rsid w:val="00D32A71"/>
    <w:rsid w:val="00D32F9C"/>
    <w:rsid w:val="00D3428B"/>
    <w:rsid w:val="00D34631"/>
    <w:rsid w:val="00D34738"/>
    <w:rsid w:val="00D3481B"/>
    <w:rsid w:val="00D34EF1"/>
    <w:rsid w:val="00D35EFD"/>
    <w:rsid w:val="00D3606E"/>
    <w:rsid w:val="00D37655"/>
    <w:rsid w:val="00D40422"/>
    <w:rsid w:val="00D406AA"/>
    <w:rsid w:val="00D41438"/>
    <w:rsid w:val="00D418DD"/>
    <w:rsid w:val="00D41CAC"/>
    <w:rsid w:val="00D41F61"/>
    <w:rsid w:val="00D42EEB"/>
    <w:rsid w:val="00D43B76"/>
    <w:rsid w:val="00D4433C"/>
    <w:rsid w:val="00D45A65"/>
    <w:rsid w:val="00D466D4"/>
    <w:rsid w:val="00D47CED"/>
    <w:rsid w:val="00D505EF"/>
    <w:rsid w:val="00D5071E"/>
    <w:rsid w:val="00D50AEF"/>
    <w:rsid w:val="00D5154E"/>
    <w:rsid w:val="00D53AE0"/>
    <w:rsid w:val="00D5627E"/>
    <w:rsid w:val="00D57797"/>
    <w:rsid w:val="00D57A2E"/>
    <w:rsid w:val="00D601AE"/>
    <w:rsid w:val="00D602B7"/>
    <w:rsid w:val="00D60837"/>
    <w:rsid w:val="00D610CB"/>
    <w:rsid w:val="00D611DC"/>
    <w:rsid w:val="00D620BC"/>
    <w:rsid w:val="00D6211A"/>
    <w:rsid w:val="00D623DA"/>
    <w:rsid w:val="00D63031"/>
    <w:rsid w:val="00D631DF"/>
    <w:rsid w:val="00D6360B"/>
    <w:rsid w:val="00D63C78"/>
    <w:rsid w:val="00D653FB"/>
    <w:rsid w:val="00D65E8B"/>
    <w:rsid w:val="00D668A4"/>
    <w:rsid w:val="00D66DD4"/>
    <w:rsid w:val="00D6783A"/>
    <w:rsid w:val="00D67857"/>
    <w:rsid w:val="00D70C8C"/>
    <w:rsid w:val="00D70D99"/>
    <w:rsid w:val="00D71E47"/>
    <w:rsid w:val="00D725BA"/>
    <w:rsid w:val="00D738C8"/>
    <w:rsid w:val="00D741A1"/>
    <w:rsid w:val="00D7501C"/>
    <w:rsid w:val="00D75330"/>
    <w:rsid w:val="00D75641"/>
    <w:rsid w:val="00D75E61"/>
    <w:rsid w:val="00D77957"/>
    <w:rsid w:val="00D77CDE"/>
    <w:rsid w:val="00D816AC"/>
    <w:rsid w:val="00D81992"/>
    <w:rsid w:val="00D82453"/>
    <w:rsid w:val="00D82E48"/>
    <w:rsid w:val="00D842AA"/>
    <w:rsid w:val="00D84D81"/>
    <w:rsid w:val="00D86225"/>
    <w:rsid w:val="00D86AA2"/>
    <w:rsid w:val="00D86BEB"/>
    <w:rsid w:val="00D870F5"/>
    <w:rsid w:val="00D87BB4"/>
    <w:rsid w:val="00D87FCF"/>
    <w:rsid w:val="00D90EA9"/>
    <w:rsid w:val="00D916D8"/>
    <w:rsid w:val="00D9287F"/>
    <w:rsid w:val="00D93BC8"/>
    <w:rsid w:val="00D93C0E"/>
    <w:rsid w:val="00D95825"/>
    <w:rsid w:val="00D968CD"/>
    <w:rsid w:val="00D96A74"/>
    <w:rsid w:val="00D96DB4"/>
    <w:rsid w:val="00D970CE"/>
    <w:rsid w:val="00D97B1A"/>
    <w:rsid w:val="00DA0050"/>
    <w:rsid w:val="00DA033A"/>
    <w:rsid w:val="00DA06CE"/>
    <w:rsid w:val="00DA0DCD"/>
    <w:rsid w:val="00DA0E88"/>
    <w:rsid w:val="00DA0EA4"/>
    <w:rsid w:val="00DA1744"/>
    <w:rsid w:val="00DA2D72"/>
    <w:rsid w:val="00DA2ECB"/>
    <w:rsid w:val="00DA3846"/>
    <w:rsid w:val="00DA38F8"/>
    <w:rsid w:val="00DA3EF2"/>
    <w:rsid w:val="00DA40FB"/>
    <w:rsid w:val="00DA4A76"/>
    <w:rsid w:val="00DA5194"/>
    <w:rsid w:val="00DA520D"/>
    <w:rsid w:val="00DA5EAB"/>
    <w:rsid w:val="00DA6A57"/>
    <w:rsid w:val="00DA765C"/>
    <w:rsid w:val="00DB044E"/>
    <w:rsid w:val="00DB07B9"/>
    <w:rsid w:val="00DB1424"/>
    <w:rsid w:val="00DB14A5"/>
    <w:rsid w:val="00DB1900"/>
    <w:rsid w:val="00DB2F39"/>
    <w:rsid w:val="00DB33B1"/>
    <w:rsid w:val="00DB33DB"/>
    <w:rsid w:val="00DB405A"/>
    <w:rsid w:val="00DB45FA"/>
    <w:rsid w:val="00DB4E4A"/>
    <w:rsid w:val="00DB53EB"/>
    <w:rsid w:val="00DB5989"/>
    <w:rsid w:val="00DB5A74"/>
    <w:rsid w:val="00DB5E0F"/>
    <w:rsid w:val="00DB6EDB"/>
    <w:rsid w:val="00DB712A"/>
    <w:rsid w:val="00DC178A"/>
    <w:rsid w:val="00DC2016"/>
    <w:rsid w:val="00DC2346"/>
    <w:rsid w:val="00DC2DDA"/>
    <w:rsid w:val="00DC3405"/>
    <w:rsid w:val="00DC38B0"/>
    <w:rsid w:val="00DC39B5"/>
    <w:rsid w:val="00DC3F6C"/>
    <w:rsid w:val="00DC466B"/>
    <w:rsid w:val="00DC4C25"/>
    <w:rsid w:val="00DC6080"/>
    <w:rsid w:val="00DC68E9"/>
    <w:rsid w:val="00DC6D47"/>
    <w:rsid w:val="00DC6FED"/>
    <w:rsid w:val="00DC7908"/>
    <w:rsid w:val="00DD037B"/>
    <w:rsid w:val="00DD06B7"/>
    <w:rsid w:val="00DD1C96"/>
    <w:rsid w:val="00DD3464"/>
    <w:rsid w:val="00DD3C25"/>
    <w:rsid w:val="00DD4DF4"/>
    <w:rsid w:val="00DD5043"/>
    <w:rsid w:val="00DD5639"/>
    <w:rsid w:val="00DD58F5"/>
    <w:rsid w:val="00DD6203"/>
    <w:rsid w:val="00DD6222"/>
    <w:rsid w:val="00DD7CA0"/>
    <w:rsid w:val="00DE0E01"/>
    <w:rsid w:val="00DE28FE"/>
    <w:rsid w:val="00DE2C25"/>
    <w:rsid w:val="00DE2CD0"/>
    <w:rsid w:val="00DE2DBA"/>
    <w:rsid w:val="00DE3BB8"/>
    <w:rsid w:val="00DE45CC"/>
    <w:rsid w:val="00DE5306"/>
    <w:rsid w:val="00DE597C"/>
    <w:rsid w:val="00DE5F27"/>
    <w:rsid w:val="00DE62CA"/>
    <w:rsid w:val="00DE6567"/>
    <w:rsid w:val="00DE6DBF"/>
    <w:rsid w:val="00DE76CB"/>
    <w:rsid w:val="00DF216E"/>
    <w:rsid w:val="00DF2427"/>
    <w:rsid w:val="00DF25AA"/>
    <w:rsid w:val="00DF3496"/>
    <w:rsid w:val="00DF3886"/>
    <w:rsid w:val="00DF3B82"/>
    <w:rsid w:val="00DF3C78"/>
    <w:rsid w:val="00DF4095"/>
    <w:rsid w:val="00DF4A14"/>
    <w:rsid w:val="00DF4A46"/>
    <w:rsid w:val="00DF5DF2"/>
    <w:rsid w:val="00DF5FB8"/>
    <w:rsid w:val="00E00059"/>
    <w:rsid w:val="00E0072D"/>
    <w:rsid w:val="00E0174B"/>
    <w:rsid w:val="00E01F0D"/>
    <w:rsid w:val="00E01F8E"/>
    <w:rsid w:val="00E0206F"/>
    <w:rsid w:val="00E021C3"/>
    <w:rsid w:val="00E0239C"/>
    <w:rsid w:val="00E036CD"/>
    <w:rsid w:val="00E041C1"/>
    <w:rsid w:val="00E05D0A"/>
    <w:rsid w:val="00E05FA7"/>
    <w:rsid w:val="00E0636C"/>
    <w:rsid w:val="00E0765C"/>
    <w:rsid w:val="00E10048"/>
    <w:rsid w:val="00E10C29"/>
    <w:rsid w:val="00E11196"/>
    <w:rsid w:val="00E11570"/>
    <w:rsid w:val="00E1292F"/>
    <w:rsid w:val="00E136EF"/>
    <w:rsid w:val="00E13B4F"/>
    <w:rsid w:val="00E13BD0"/>
    <w:rsid w:val="00E15305"/>
    <w:rsid w:val="00E15478"/>
    <w:rsid w:val="00E17313"/>
    <w:rsid w:val="00E20366"/>
    <w:rsid w:val="00E20F58"/>
    <w:rsid w:val="00E213B4"/>
    <w:rsid w:val="00E215CB"/>
    <w:rsid w:val="00E21A5C"/>
    <w:rsid w:val="00E21CCF"/>
    <w:rsid w:val="00E21EA5"/>
    <w:rsid w:val="00E22199"/>
    <w:rsid w:val="00E232BE"/>
    <w:rsid w:val="00E23AE6"/>
    <w:rsid w:val="00E23AFD"/>
    <w:rsid w:val="00E2433E"/>
    <w:rsid w:val="00E24A35"/>
    <w:rsid w:val="00E24EAF"/>
    <w:rsid w:val="00E2586F"/>
    <w:rsid w:val="00E266E4"/>
    <w:rsid w:val="00E2721A"/>
    <w:rsid w:val="00E273A8"/>
    <w:rsid w:val="00E30037"/>
    <w:rsid w:val="00E30478"/>
    <w:rsid w:val="00E306A8"/>
    <w:rsid w:val="00E3185C"/>
    <w:rsid w:val="00E31E9B"/>
    <w:rsid w:val="00E32CE8"/>
    <w:rsid w:val="00E32FF3"/>
    <w:rsid w:val="00E34288"/>
    <w:rsid w:val="00E343F4"/>
    <w:rsid w:val="00E34716"/>
    <w:rsid w:val="00E34F00"/>
    <w:rsid w:val="00E35DEC"/>
    <w:rsid w:val="00E36291"/>
    <w:rsid w:val="00E363DE"/>
    <w:rsid w:val="00E36D3F"/>
    <w:rsid w:val="00E376BC"/>
    <w:rsid w:val="00E37C82"/>
    <w:rsid w:val="00E41443"/>
    <w:rsid w:val="00E416D7"/>
    <w:rsid w:val="00E41FA6"/>
    <w:rsid w:val="00E43A20"/>
    <w:rsid w:val="00E43B43"/>
    <w:rsid w:val="00E43D46"/>
    <w:rsid w:val="00E44327"/>
    <w:rsid w:val="00E452F0"/>
    <w:rsid w:val="00E4559F"/>
    <w:rsid w:val="00E45628"/>
    <w:rsid w:val="00E456B2"/>
    <w:rsid w:val="00E47B00"/>
    <w:rsid w:val="00E51BC4"/>
    <w:rsid w:val="00E5239F"/>
    <w:rsid w:val="00E524D0"/>
    <w:rsid w:val="00E53110"/>
    <w:rsid w:val="00E53B7B"/>
    <w:rsid w:val="00E53CAA"/>
    <w:rsid w:val="00E53E5A"/>
    <w:rsid w:val="00E54304"/>
    <w:rsid w:val="00E548A1"/>
    <w:rsid w:val="00E54AA0"/>
    <w:rsid w:val="00E55200"/>
    <w:rsid w:val="00E56B50"/>
    <w:rsid w:val="00E571BC"/>
    <w:rsid w:val="00E60A2D"/>
    <w:rsid w:val="00E60D0B"/>
    <w:rsid w:val="00E614E1"/>
    <w:rsid w:val="00E617E0"/>
    <w:rsid w:val="00E619A4"/>
    <w:rsid w:val="00E61C87"/>
    <w:rsid w:val="00E62616"/>
    <w:rsid w:val="00E627B3"/>
    <w:rsid w:val="00E63B17"/>
    <w:rsid w:val="00E63BCA"/>
    <w:rsid w:val="00E640ED"/>
    <w:rsid w:val="00E65483"/>
    <w:rsid w:val="00E65F47"/>
    <w:rsid w:val="00E66593"/>
    <w:rsid w:val="00E669CF"/>
    <w:rsid w:val="00E66A6E"/>
    <w:rsid w:val="00E66BD9"/>
    <w:rsid w:val="00E67A1C"/>
    <w:rsid w:val="00E706B2"/>
    <w:rsid w:val="00E707BC"/>
    <w:rsid w:val="00E70BB9"/>
    <w:rsid w:val="00E71D26"/>
    <w:rsid w:val="00E72E63"/>
    <w:rsid w:val="00E730E2"/>
    <w:rsid w:val="00E743AC"/>
    <w:rsid w:val="00E747E7"/>
    <w:rsid w:val="00E7480E"/>
    <w:rsid w:val="00E748AA"/>
    <w:rsid w:val="00E74F3F"/>
    <w:rsid w:val="00E75ED4"/>
    <w:rsid w:val="00E762C8"/>
    <w:rsid w:val="00E7636E"/>
    <w:rsid w:val="00E765D0"/>
    <w:rsid w:val="00E80727"/>
    <w:rsid w:val="00E811B2"/>
    <w:rsid w:val="00E8194A"/>
    <w:rsid w:val="00E81EC4"/>
    <w:rsid w:val="00E840BD"/>
    <w:rsid w:val="00E84132"/>
    <w:rsid w:val="00E84290"/>
    <w:rsid w:val="00E842C0"/>
    <w:rsid w:val="00E84E47"/>
    <w:rsid w:val="00E8620A"/>
    <w:rsid w:val="00E86389"/>
    <w:rsid w:val="00E86877"/>
    <w:rsid w:val="00E87EFA"/>
    <w:rsid w:val="00E90924"/>
    <w:rsid w:val="00E910C2"/>
    <w:rsid w:val="00E91581"/>
    <w:rsid w:val="00E919B4"/>
    <w:rsid w:val="00E9205E"/>
    <w:rsid w:val="00E923B5"/>
    <w:rsid w:val="00E92C6F"/>
    <w:rsid w:val="00E9440F"/>
    <w:rsid w:val="00E94E6C"/>
    <w:rsid w:val="00E95ED6"/>
    <w:rsid w:val="00E96D32"/>
    <w:rsid w:val="00E96DA2"/>
    <w:rsid w:val="00E97080"/>
    <w:rsid w:val="00E97F8D"/>
    <w:rsid w:val="00EA07E2"/>
    <w:rsid w:val="00EA0C4C"/>
    <w:rsid w:val="00EA0ED9"/>
    <w:rsid w:val="00EA1888"/>
    <w:rsid w:val="00EA1E16"/>
    <w:rsid w:val="00EA1E30"/>
    <w:rsid w:val="00EA361B"/>
    <w:rsid w:val="00EA38B7"/>
    <w:rsid w:val="00EA3A6D"/>
    <w:rsid w:val="00EA4EBD"/>
    <w:rsid w:val="00EA4F38"/>
    <w:rsid w:val="00EA5226"/>
    <w:rsid w:val="00EA599F"/>
    <w:rsid w:val="00EA5BBD"/>
    <w:rsid w:val="00EA5DBD"/>
    <w:rsid w:val="00EA5FA4"/>
    <w:rsid w:val="00EA6056"/>
    <w:rsid w:val="00EA7756"/>
    <w:rsid w:val="00EA7E02"/>
    <w:rsid w:val="00EB071F"/>
    <w:rsid w:val="00EB2276"/>
    <w:rsid w:val="00EB2AD8"/>
    <w:rsid w:val="00EB3BF9"/>
    <w:rsid w:val="00EB55DF"/>
    <w:rsid w:val="00EB567F"/>
    <w:rsid w:val="00EB5AFF"/>
    <w:rsid w:val="00EB7984"/>
    <w:rsid w:val="00EC0284"/>
    <w:rsid w:val="00EC0D5F"/>
    <w:rsid w:val="00EC174E"/>
    <w:rsid w:val="00EC2633"/>
    <w:rsid w:val="00EC2B90"/>
    <w:rsid w:val="00EC32A2"/>
    <w:rsid w:val="00EC4541"/>
    <w:rsid w:val="00EC4647"/>
    <w:rsid w:val="00EC49E9"/>
    <w:rsid w:val="00EC4AF3"/>
    <w:rsid w:val="00EC4B08"/>
    <w:rsid w:val="00EC5154"/>
    <w:rsid w:val="00EC55EF"/>
    <w:rsid w:val="00EC56C7"/>
    <w:rsid w:val="00EC5CCA"/>
    <w:rsid w:val="00EC6A78"/>
    <w:rsid w:val="00EC78E7"/>
    <w:rsid w:val="00EC7FA9"/>
    <w:rsid w:val="00ED089D"/>
    <w:rsid w:val="00ED224F"/>
    <w:rsid w:val="00ED4958"/>
    <w:rsid w:val="00ED58E0"/>
    <w:rsid w:val="00ED5B8B"/>
    <w:rsid w:val="00ED6812"/>
    <w:rsid w:val="00ED6AA0"/>
    <w:rsid w:val="00ED6D45"/>
    <w:rsid w:val="00ED7010"/>
    <w:rsid w:val="00ED7528"/>
    <w:rsid w:val="00ED7D78"/>
    <w:rsid w:val="00EE0869"/>
    <w:rsid w:val="00EE0CF9"/>
    <w:rsid w:val="00EE10B1"/>
    <w:rsid w:val="00EE1172"/>
    <w:rsid w:val="00EE14BE"/>
    <w:rsid w:val="00EE2A1C"/>
    <w:rsid w:val="00EE44A9"/>
    <w:rsid w:val="00EE45C2"/>
    <w:rsid w:val="00EE543F"/>
    <w:rsid w:val="00EE5505"/>
    <w:rsid w:val="00EE55A7"/>
    <w:rsid w:val="00EE70DC"/>
    <w:rsid w:val="00EE7830"/>
    <w:rsid w:val="00EE7E1C"/>
    <w:rsid w:val="00EF0A0F"/>
    <w:rsid w:val="00EF1862"/>
    <w:rsid w:val="00EF1B8B"/>
    <w:rsid w:val="00EF1CCA"/>
    <w:rsid w:val="00EF2386"/>
    <w:rsid w:val="00EF24D8"/>
    <w:rsid w:val="00EF2BE2"/>
    <w:rsid w:val="00EF3B26"/>
    <w:rsid w:val="00EF4471"/>
    <w:rsid w:val="00EF4DD6"/>
    <w:rsid w:val="00EF5313"/>
    <w:rsid w:val="00EF5484"/>
    <w:rsid w:val="00EF6C2F"/>
    <w:rsid w:val="00EF760F"/>
    <w:rsid w:val="00EF7D4F"/>
    <w:rsid w:val="00EF7F08"/>
    <w:rsid w:val="00F022A1"/>
    <w:rsid w:val="00F0286E"/>
    <w:rsid w:val="00F02B8A"/>
    <w:rsid w:val="00F038A6"/>
    <w:rsid w:val="00F03924"/>
    <w:rsid w:val="00F03F4A"/>
    <w:rsid w:val="00F043DE"/>
    <w:rsid w:val="00F04C37"/>
    <w:rsid w:val="00F0508E"/>
    <w:rsid w:val="00F0582E"/>
    <w:rsid w:val="00F059D3"/>
    <w:rsid w:val="00F05F02"/>
    <w:rsid w:val="00F05F84"/>
    <w:rsid w:val="00F0723A"/>
    <w:rsid w:val="00F0743D"/>
    <w:rsid w:val="00F075D5"/>
    <w:rsid w:val="00F07816"/>
    <w:rsid w:val="00F07A30"/>
    <w:rsid w:val="00F07A73"/>
    <w:rsid w:val="00F07FEC"/>
    <w:rsid w:val="00F10069"/>
    <w:rsid w:val="00F110C0"/>
    <w:rsid w:val="00F11113"/>
    <w:rsid w:val="00F113F3"/>
    <w:rsid w:val="00F1226B"/>
    <w:rsid w:val="00F12410"/>
    <w:rsid w:val="00F13B08"/>
    <w:rsid w:val="00F159E0"/>
    <w:rsid w:val="00F15E85"/>
    <w:rsid w:val="00F16486"/>
    <w:rsid w:val="00F17006"/>
    <w:rsid w:val="00F17856"/>
    <w:rsid w:val="00F1788A"/>
    <w:rsid w:val="00F17943"/>
    <w:rsid w:val="00F17A63"/>
    <w:rsid w:val="00F21351"/>
    <w:rsid w:val="00F22DE0"/>
    <w:rsid w:val="00F22DF4"/>
    <w:rsid w:val="00F23704"/>
    <w:rsid w:val="00F23D89"/>
    <w:rsid w:val="00F248A2"/>
    <w:rsid w:val="00F24CAC"/>
    <w:rsid w:val="00F25B44"/>
    <w:rsid w:val="00F26525"/>
    <w:rsid w:val="00F26AEA"/>
    <w:rsid w:val="00F27170"/>
    <w:rsid w:val="00F2746C"/>
    <w:rsid w:val="00F27C8B"/>
    <w:rsid w:val="00F27F80"/>
    <w:rsid w:val="00F30673"/>
    <w:rsid w:val="00F318E9"/>
    <w:rsid w:val="00F328AC"/>
    <w:rsid w:val="00F32B7B"/>
    <w:rsid w:val="00F32C36"/>
    <w:rsid w:val="00F330C4"/>
    <w:rsid w:val="00F33563"/>
    <w:rsid w:val="00F337A2"/>
    <w:rsid w:val="00F33875"/>
    <w:rsid w:val="00F33988"/>
    <w:rsid w:val="00F33B4F"/>
    <w:rsid w:val="00F34218"/>
    <w:rsid w:val="00F36AA0"/>
    <w:rsid w:val="00F36B4D"/>
    <w:rsid w:val="00F37184"/>
    <w:rsid w:val="00F37565"/>
    <w:rsid w:val="00F37CB5"/>
    <w:rsid w:val="00F37E35"/>
    <w:rsid w:val="00F403FC"/>
    <w:rsid w:val="00F41588"/>
    <w:rsid w:val="00F41A25"/>
    <w:rsid w:val="00F41DC5"/>
    <w:rsid w:val="00F421EA"/>
    <w:rsid w:val="00F4272D"/>
    <w:rsid w:val="00F432F8"/>
    <w:rsid w:val="00F435DF"/>
    <w:rsid w:val="00F43895"/>
    <w:rsid w:val="00F43AC2"/>
    <w:rsid w:val="00F440E8"/>
    <w:rsid w:val="00F444DF"/>
    <w:rsid w:val="00F45165"/>
    <w:rsid w:val="00F45F54"/>
    <w:rsid w:val="00F46A91"/>
    <w:rsid w:val="00F47BB7"/>
    <w:rsid w:val="00F47F82"/>
    <w:rsid w:val="00F51282"/>
    <w:rsid w:val="00F51C3E"/>
    <w:rsid w:val="00F533FF"/>
    <w:rsid w:val="00F5389E"/>
    <w:rsid w:val="00F5532F"/>
    <w:rsid w:val="00F55543"/>
    <w:rsid w:val="00F57734"/>
    <w:rsid w:val="00F60450"/>
    <w:rsid w:val="00F60B5E"/>
    <w:rsid w:val="00F6214D"/>
    <w:rsid w:val="00F64C8C"/>
    <w:rsid w:val="00F64F1D"/>
    <w:rsid w:val="00F64F28"/>
    <w:rsid w:val="00F65ACD"/>
    <w:rsid w:val="00F660E3"/>
    <w:rsid w:val="00F66459"/>
    <w:rsid w:val="00F6746D"/>
    <w:rsid w:val="00F678F3"/>
    <w:rsid w:val="00F67944"/>
    <w:rsid w:val="00F70E0A"/>
    <w:rsid w:val="00F711D5"/>
    <w:rsid w:val="00F714BA"/>
    <w:rsid w:val="00F71E0B"/>
    <w:rsid w:val="00F71E6C"/>
    <w:rsid w:val="00F7301E"/>
    <w:rsid w:val="00F73C3B"/>
    <w:rsid w:val="00F7449B"/>
    <w:rsid w:val="00F75265"/>
    <w:rsid w:val="00F7546C"/>
    <w:rsid w:val="00F75F77"/>
    <w:rsid w:val="00F770BC"/>
    <w:rsid w:val="00F7719D"/>
    <w:rsid w:val="00F774EC"/>
    <w:rsid w:val="00F807FF"/>
    <w:rsid w:val="00F80A65"/>
    <w:rsid w:val="00F81134"/>
    <w:rsid w:val="00F8129A"/>
    <w:rsid w:val="00F82F18"/>
    <w:rsid w:val="00F842A6"/>
    <w:rsid w:val="00F84E7E"/>
    <w:rsid w:val="00F84E9C"/>
    <w:rsid w:val="00F85100"/>
    <w:rsid w:val="00F857AD"/>
    <w:rsid w:val="00F85E24"/>
    <w:rsid w:val="00F8638B"/>
    <w:rsid w:val="00F871B7"/>
    <w:rsid w:val="00F876CA"/>
    <w:rsid w:val="00F87704"/>
    <w:rsid w:val="00F877FD"/>
    <w:rsid w:val="00F9087B"/>
    <w:rsid w:val="00F90E74"/>
    <w:rsid w:val="00F90F05"/>
    <w:rsid w:val="00F914E9"/>
    <w:rsid w:val="00F919F1"/>
    <w:rsid w:val="00F919F6"/>
    <w:rsid w:val="00F929FE"/>
    <w:rsid w:val="00F92E22"/>
    <w:rsid w:val="00F93AEA"/>
    <w:rsid w:val="00F942D2"/>
    <w:rsid w:val="00F94AA2"/>
    <w:rsid w:val="00F9579A"/>
    <w:rsid w:val="00F958E5"/>
    <w:rsid w:val="00F96AB6"/>
    <w:rsid w:val="00F96B8D"/>
    <w:rsid w:val="00FA088E"/>
    <w:rsid w:val="00FA16B9"/>
    <w:rsid w:val="00FA2876"/>
    <w:rsid w:val="00FA2A4D"/>
    <w:rsid w:val="00FA3066"/>
    <w:rsid w:val="00FA537A"/>
    <w:rsid w:val="00FA5755"/>
    <w:rsid w:val="00FA5AD1"/>
    <w:rsid w:val="00FA5F86"/>
    <w:rsid w:val="00FA6DC1"/>
    <w:rsid w:val="00FB0403"/>
    <w:rsid w:val="00FB095E"/>
    <w:rsid w:val="00FB11C6"/>
    <w:rsid w:val="00FB17EF"/>
    <w:rsid w:val="00FB1B95"/>
    <w:rsid w:val="00FB1E90"/>
    <w:rsid w:val="00FB26DE"/>
    <w:rsid w:val="00FB2C4D"/>
    <w:rsid w:val="00FB3490"/>
    <w:rsid w:val="00FB557C"/>
    <w:rsid w:val="00FB5DE5"/>
    <w:rsid w:val="00FB6BEB"/>
    <w:rsid w:val="00FB6C4B"/>
    <w:rsid w:val="00FC008F"/>
    <w:rsid w:val="00FC133F"/>
    <w:rsid w:val="00FC1B3B"/>
    <w:rsid w:val="00FC1BE2"/>
    <w:rsid w:val="00FC1F7D"/>
    <w:rsid w:val="00FC3477"/>
    <w:rsid w:val="00FC395D"/>
    <w:rsid w:val="00FC5A38"/>
    <w:rsid w:val="00FC6AD6"/>
    <w:rsid w:val="00FC7C93"/>
    <w:rsid w:val="00FD0524"/>
    <w:rsid w:val="00FD0D59"/>
    <w:rsid w:val="00FD2D7A"/>
    <w:rsid w:val="00FD318A"/>
    <w:rsid w:val="00FD64AC"/>
    <w:rsid w:val="00FD6D7F"/>
    <w:rsid w:val="00FD7BFC"/>
    <w:rsid w:val="00FD7C4B"/>
    <w:rsid w:val="00FE02A6"/>
    <w:rsid w:val="00FE0BFF"/>
    <w:rsid w:val="00FE18C0"/>
    <w:rsid w:val="00FE194A"/>
    <w:rsid w:val="00FE1A9A"/>
    <w:rsid w:val="00FE1AD5"/>
    <w:rsid w:val="00FE1F75"/>
    <w:rsid w:val="00FE2195"/>
    <w:rsid w:val="00FE26F1"/>
    <w:rsid w:val="00FE2B8B"/>
    <w:rsid w:val="00FE3E87"/>
    <w:rsid w:val="00FE5890"/>
    <w:rsid w:val="00FE59F8"/>
    <w:rsid w:val="00FE6133"/>
    <w:rsid w:val="00FE6396"/>
    <w:rsid w:val="00FE6EB6"/>
    <w:rsid w:val="00FE6F0A"/>
    <w:rsid w:val="00FE715F"/>
    <w:rsid w:val="00FE7CF6"/>
    <w:rsid w:val="00FF18A7"/>
    <w:rsid w:val="00FF1ED9"/>
    <w:rsid w:val="00FF2291"/>
    <w:rsid w:val="00FF2DF0"/>
    <w:rsid w:val="00FF2E90"/>
    <w:rsid w:val="00FF2F69"/>
    <w:rsid w:val="00FF41E2"/>
    <w:rsid w:val="00FF4406"/>
    <w:rsid w:val="00FF5E69"/>
    <w:rsid w:val="00FF66A5"/>
    <w:rsid w:val="010C252D"/>
    <w:rsid w:val="012219E2"/>
    <w:rsid w:val="012D68E6"/>
    <w:rsid w:val="01336528"/>
    <w:rsid w:val="018F56E8"/>
    <w:rsid w:val="01AF330C"/>
    <w:rsid w:val="02440979"/>
    <w:rsid w:val="02B9215D"/>
    <w:rsid w:val="030C60FF"/>
    <w:rsid w:val="03294AB7"/>
    <w:rsid w:val="035C3ED5"/>
    <w:rsid w:val="0395507E"/>
    <w:rsid w:val="047356A0"/>
    <w:rsid w:val="04F1738D"/>
    <w:rsid w:val="05050FA2"/>
    <w:rsid w:val="0590672A"/>
    <w:rsid w:val="059A69B9"/>
    <w:rsid w:val="06227749"/>
    <w:rsid w:val="065D7524"/>
    <w:rsid w:val="06A249E1"/>
    <w:rsid w:val="06A30779"/>
    <w:rsid w:val="08893FF9"/>
    <w:rsid w:val="091643DF"/>
    <w:rsid w:val="09204F50"/>
    <w:rsid w:val="097C641E"/>
    <w:rsid w:val="09935079"/>
    <w:rsid w:val="09B576F8"/>
    <w:rsid w:val="09BA375B"/>
    <w:rsid w:val="0A615076"/>
    <w:rsid w:val="0ACE516D"/>
    <w:rsid w:val="0B5B5817"/>
    <w:rsid w:val="0B970A6F"/>
    <w:rsid w:val="0BFE09A3"/>
    <w:rsid w:val="0C8D63C5"/>
    <w:rsid w:val="0E49614D"/>
    <w:rsid w:val="0EA118D2"/>
    <w:rsid w:val="0EA15A4A"/>
    <w:rsid w:val="0EFC163C"/>
    <w:rsid w:val="0FE04C53"/>
    <w:rsid w:val="1004016B"/>
    <w:rsid w:val="11D33EA2"/>
    <w:rsid w:val="12B820CC"/>
    <w:rsid w:val="12CD3ACC"/>
    <w:rsid w:val="13A164B4"/>
    <w:rsid w:val="14176E59"/>
    <w:rsid w:val="14AC050E"/>
    <w:rsid w:val="14C9284A"/>
    <w:rsid w:val="156C23C1"/>
    <w:rsid w:val="156E193D"/>
    <w:rsid w:val="157046C8"/>
    <w:rsid w:val="164E2431"/>
    <w:rsid w:val="16770631"/>
    <w:rsid w:val="17F62A05"/>
    <w:rsid w:val="18F5467C"/>
    <w:rsid w:val="198F2A23"/>
    <w:rsid w:val="19FA591E"/>
    <w:rsid w:val="1A0318CF"/>
    <w:rsid w:val="1A4B5909"/>
    <w:rsid w:val="1A4C49F9"/>
    <w:rsid w:val="1AC94CE5"/>
    <w:rsid w:val="1AD00B7C"/>
    <w:rsid w:val="1BCE5C56"/>
    <w:rsid w:val="1D617D50"/>
    <w:rsid w:val="1E701435"/>
    <w:rsid w:val="1EA37082"/>
    <w:rsid w:val="1F8C4F4C"/>
    <w:rsid w:val="1FC018C9"/>
    <w:rsid w:val="1FCB0C65"/>
    <w:rsid w:val="1FD06467"/>
    <w:rsid w:val="217A3613"/>
    <w:rsid w:val="219B2338"/>
    <w:rsid w:val="21EC2725"/>
    <w:rsid w:val="22192183"/>
    <w:rsid w:val="226A1271"/>
    <w:rsid w:val="227F4778"/>
    <w:rsid w:val="22E5394A"/>
    <w:rsid w:val="23696F34"/>
    <w:rsid w:val="23C16CA0"/>
    <w:rsid w:val="24192695"/>
    <w:rsid w:val="246972CB"/>
    <w:rsid w:val="25353D52"/>
    <w:rsid w:val="27703F79"/>
    <w:rsid w:val="28490684"/>
    <w:rsid w:val="28733E15"/>
    <w:rsid w:val="28AB4197"/>
    <w:rsid w:val="28E9244F"/>
    <w:rsid w:val="290D1C6D"/>
    <w:rsid w:val="292379EC"/>
    <w:rsid w:val="293873A5"/>
    <w:rsid w:val="297F34F0"/>
    <w:rsid w:val="2B0D28E8"/>
    <w:rsid w:val="2B9028C9"/>
    <w:rsid w:val="2C813C16"/>
    <w:rsid w:val="2C850722"/>
    <w:rsid w:val="2E372D0B"/>
    <w:rsid w:val="2EC34A23"/>
    <w:rsid w:val="2EEB57E5"/>
    <w:rsid w:val="2F7D096E"/>
    <w:rsid w:val="2F9966A7"/>
    <w:rsid w:val="302D153F"/>
    <w:rsid w:val="304028A2"/>
    <w:rsid w:val="30574DBD"/>
    <w:rsid w:val="31A43463"/>
    <w:rsid w:val="31F37799"/>
    <w:rsid w:val="320330FF"/>
    <w:rsid w:val="32A208A5"/>
    <w:rsid w:val="32A40E8E"/>
    <w:rsid w:val="33BB51C8"/>
    <w:rsid w:val="33E00F1E"/>
    <w:rsid w:val="344F65EE"/>
    <w:rsid w:val="349C0037"/>
    <w:rsid w:val="34C16E7E"/>
    <w:rsid w:val="34D2790E"/>
    <w:rsid w:val="34DC7756"/>
    <w:rsid w:val="35895C6C"/>
    <w:rsid w:val="364C55D7"/>
    <w:rsid w:val="36562E51"/>
    <w:rsid w:val="36C26838"/>
    <w:rsid w:val="371A31C1"/>
    <w:rsid w:val="37822419"/>
    <w:rsid w:val="38152DCF"/>
    <w:rsid w:val="39312235"/>
    <w:rsid w:val="39327E66"/>
    <w:rsid w:val="3974449D"/>
    <w:rsid w:val="39776B3E"/>
    <w:rsid w:val="3A554A59"/>
    <w:rsid w:val="3A9B5969"/>
    <w:rsid w:val="3B1210F8"/>
    <w:rsid w:val="3C1F71C8"/>
    <w:rsid w:val="3C3F49D5"/>
    <w:rsid w:val="3D0871AA"/>
    <w:rsid w:val="3DC56650"/>
    <w:rsid w:val="3E0B0370"/>
    <w:rsid w:val="3E467371"/>
    <w:rsid w:val="3E5878E0"/>
    <w:rsid w:val="3E966E15"/>
    <w:rsid w:val="3F4A6D3E"/>
    <w:rsid w:val="3FA87412"/>
    <w:rsid w:val="40866424"/>
    <w:rsid w:val="411424CF"/>
    <w:rsid w:val="41B668CB"/>
    <w:rsid w:val="433F4405"/>
    <w:rsid w:val="436D1C76"/>
    <w:rsid w:val="439619DE"/>
    <w:rsid w:val="45AF604A"/>
    <w:rsid w:val="467C1894"/>
    <w:rsid w:val="48482966"/>
    <w:rsid w:val="49535731"/>
    <w:rsid w:val="4A0440D3"/>
    <w:rsid w:val="4A0E757E"/>
    <w:rsid w:val="4A8107F1"/>
    <w:rsid w:val="4B356FF5"/>
    <w:rsid w:val="4B982F37"/>
    <w:rsid w:val="4C351001"/>
    <w:rsid w:val="4C625E78"/>
    <w:rsid w:val="4C951910"/>
    <w:rsid w:val="4CA7043D"/>
    <w:rsid w:val="4CB12D07"/>
    <w:rsid w:val="4D457524"/>
    <w:rsid w:val="4DC134CE"/>
    <w:rsid w:val="504100F8"/>
    <w:rsid w:val="505860E4"/>
    <w:rsid w:val="515E219D"/>
    <w:rsid w:val="51CE18C7"/>
    <w:rsid w:val="51F535B4"/>
    <w:rsid w:val="52106894"/>
    <w:rsid w:val="522944A6"/>
    <w:rsid w:val="52F42D76"/>
    <w:rsid w:val="536D080A"/>
    <w:rsid w:val="536E3FC1"/>
    <w:rsid w:val="540841F7"/>
    <w:rsid w:val="550620D5"/>
    <w:rsid w:val="555524F5"/>
    <w:rsid w:val="579C51B7"/>
    <w:rsid w:val="59553503"/>
    <w:rsid w:val="5A413EB9"/>
    <w:rsid w:val="5B51715D"/>
    <w:rsid w:val="5C0E0532"/>
    <w:rsid w:val="5CC56611"/>
    <w:rsid w:val="5D005CEF"/>
    <w:rsid w:val="5D1F4328"/>
    <w:rsid w:val="5D60108F"/>
    <w:rsid w:val="5DF107E0"/>
    <w:rsid w:val="5E094FA2"/>
    <w:rsid w:val="5E237E66"/>
    <w:rsid w:val="5EEA7416"/>
    <w:rsid w:val="5F995950"/>
    <w:rsid w:val="604E6183"/>
    <w:rsid w:val="60806E07"/>
    <w:rsid w:val="61356C49"/>
    <w:rsid w:val="615E1710"/>
    <w:rsid w:val="61B13009"/>
    <w:rsid w:val="61CA519B"/>
    <w:rsid w:val="62873F89"/>
    <w:rsid w:val="6356277B"/>
    <w:rsid w:val="63650180"/>
    <w:rsid w:val="63733C55"/>
    <w:rsid w:val="63B248A2"/>
    <w:rsid w:val="64460C4A"/>
    <w:rsid w:val="64580F2C"/>
    <w:rsid w:val="650E2AB1"/>
    <w:rsid w:val="652B387A"/>
    <w:rsid w:val="684505D5"/>
    <w:rsid w:val="690A2610"/>
    <w:rsid w:val="69907267"/>
    <w:rsid w:val="6A390494"/>
    <w:rsid w:val="6ABA51A3"/>
    <w:rsid w:val="6B3542F0"/>
    <w:rsid w:val="6BD5580A"/>
    <w:rsid w:val="6CE16AD2"/>
    <w:rsid w:val="6D32443F"/>
    <w:rsid w:val="6E777217"/>
    <w:rsid w:val="6EAC1C9C"/>
    <w:rsid w:val="712F1384"/>
    <w:rsid w:val="717075C6"/>
    <w:rsid w:val="721E7CE2"/>
    <w:rsid w:val="741809B8"/>
    <w:rsid w:val="75CE2535"/>
    <w:rsid w:val="76491FB5"/>
    <w:rsid w:val="76BE799C"/>
    <w:rsid w:val="77E609F7"/>
    <w:rsid w:val="78030DA4"/>
    <w:rsid w:val="784D4A2B"/>
    <w:rsid w:val="787A0C0E"/>
    <w:rsid w:val="79116BCC"/>
    <w:rsid w:val="7B1E17B4"/>
    <w:rsid w:val="7B9648D4"/>
    <w:rsid w:val="7BCE66CF"/>
    <w:rsid w:val="7CC94B13"/>
    <w:rsid w:val="7CF164DE"/>
    <w:rsid w:val="7D112824"/>
    <w:rsid w:val="7D400427"/>
    <w:rsid w:val="7D653977"/>
    <w:rsid w:val="7D966D57"/>
    <w:rsid w:val="7E3C120D"/>
    <w:rsid w:val="7E8E5B6B"/>
    <w:rsid w:val="7EA320BF"/>
    <w:rsid w:val="7EF6173E"/>
    <w:rsid w:val="7EF85E5A"/>
    <w:rsid w:val="7F09707F"/>
    <w:rsid w:val="7F5F5B03"/>
    <w:rsid w:val="7F6E75F6"/>
    <w:rsid w:val="7F747EBD"/>
    <w:rsid w:val="7FE437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f">
      <v:fill on="t" focussize="0,0"/>
      <v:stroke on="f"/>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iPriority="0" w:name="index heading"/>
    <w:lsdException w:qFormat="1" w:unhideWhenUsed="0" w:uiPriority="0" w:semiHidden="0" w:name="caption"/>
    <w:lsdException w:qFormat="1" w:unhideWhenUsed="0"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qFormat="1" w:unhideWhenUsed="0" w:uiPriority="0" w:semiHidden="0" w:name="toa heading"/>
    <w:lsdException w:qFormat="1" w:unhideWhenUsed="0" w:uiPriority="0" w:semiHidden="0" w:name="List"/>
    <w:lsdException w:qFormat="1" w:unhideWhenUsed="0" w:uiPriority="0" w:semiHidden="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qFormat="1" w:unhideWhenUsed="0" w:uiPriority="0" w:semiHidden="0" w:name="Closing"/>
    <w:lsdException w:uiPriority="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qFormat="1" w:unhideWhenUsed="0" w:uiPriority="0"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qFormat="1" w:unhideWhenUsed="0" w:uiPriority="99" w:semiHidden="0" w:name="FollowedHyperlink"/>
    <w:lsdException w:qFormat="1" w:unhideWhenUsed="0" w:uiPriority="0" w:semiHidden="0" w:name="Strong"/>
    <w:lsdException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nhideWhenUsed="0" w:uiPriority="0" w:semiHidden="0" w:name="HTML Preformatted"/>
    <w:lsdException w:uiPriority="0" w:name="HTML Sample"/>
    <w:lsdException w:uiPriority="0" w:name="HTML Typewriter"/>
    <w:lsdException w:uiPriority="0" w:name="HTML Variable"/>
    <w:lsdException w:qFormat="1" w:uiPriority="99" w:semiHidden="0"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qFormat="1" w:unhideWhenUsed="0" w:uiPriority="0" w:semiHidden="0" w:name="Table Grid 1"/>
    <w:lsdException w:uiPriority="0" w:name="Table Grid 2"/>
    <w:lsdException w:uiPriority="0" w:name="Table Grid 3"/>
    <w:lsdException w:qFormat="1" w:unhideWhenUsed="0" w:uiPriority="0" w:semiHidden="0" w:name="Table Grid 4"/>
    <w:lsdException w:qFormat="1" w:unhideWhenUsed="0" w:uiPriority="0" w:semiHidden="0" w:name="Table Grid 5"/>
    <w:lsdException w:uiPriority="0" w:name="Table Grid 6"/>
    <w:lsdException w:qFormat="1" w:unhideWhenUsed="0" w:uiPriority="0" w:semiHidden="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qFormat="1" w:unhideWhenUsed="0" w:uiPriority="0" w:semiHidden="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59"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宋体" w:cs="Times New Roman"/>
      <w:kern w:val="2"/>
      <w:sz w:val="24"/>
      <w:szCs w:val="24"/>
      <w:lang w:val="en-US" w:eastAsia="zh-CN" w:bidi="ar-SA"/>
    </w:rPr>
  </w:style>
  <w:style w:type="paragraph" w:styleId="2">
    <w:name w:val="heading 1"/>
    <w:basedOn w:val="1"/>
    <w:next w:val="1"/>
    <w:link w:val="61"/>
    <w:qFormat/>
    <w:uiPriority w:val="0"/>
    <w:pPr>
      <w:keepNext/>
      <w:keepLines/>
      <w:spacing w:before="120" w:after="120" w:line="480" w:lineRule="auto"/>
      <w:ind w:firstLine="0" w:firstLineChars="0"/>
      <w:jc w:val="center"/>
      <w:outlineLvl w:val="0"/>
    </w:pPr>
    <w:rPr>
      <w:rFonts w:eastAsia="黑体"/>
      <w:bCs/>
      <w:kern w:val="44"/>
      <w:sz w:val="32"/>
      <w:szCs w:val="44"/>
    </w:rPr>
  </w:style>
  <w:style w:type="paragraph" w:styleId="3">
    <w:name w:val="heading 2"/>
    <w:basedOn w:val="1"/>
    <w:next w:val="1"/>
    <w:link w:val="62"/>
    <w:qFormat/>
    <w:uiPriority w:val="0"/>
    <w:pPr>
      <w:keepNext/>
      <w:keepLines/>
      <w:spacing w:before="120" w:after="120"/>
      <w:ind w:firstLine="0" w:firstLineChars="0"/>
      <w:outlineLvl w:val="1"/>
    </w:pPr>
    <w:rPr>
      <w:rFonts w:eastAsia="黑体"/>
      <w:bCs/>
      <w:sz w:val="28"/>
      <w:szCs w:val="32"/>
    </w:rPr>
  </w:style>
  <w:style w:type="paragraph" w:styleId="4">
    <w:name w:val="heading 3"/>
    <w:basedOn w:val="1"/>
    <w:next w:val="1"/>
    <w:link w:val="63"/>
    <w:qFormat/>
    <w:uiPriority w:val="0"/>
    <w:pPr>
      <w:keepNext/>
      <w:keepLines/>
      <w:spacing w:before="260" w:after="260" w:line="416" w:lineRule="auto"/>
      <w:outlineLvl w:val="2"/>
    </w:pPr>
    <w:rPr>
      <w:b/>
      <w:bCs/>
      <w:sz w:val="32"/>
      <w:szCs w:val="32"/>
    </w:rPr>
  </w:style>
  <w:style w:type="paragraph" w:styleId="5">
    <w:name w:val="heading 4"/>
    <w:basedOn w:val="1"/>
    <w:next w:val="1"/>
    <w:link w:val="269"/>
    <w:qFormat/>
    <w:uiPriority w:val="0"/>
    <w:pPr>
      <w:keepNext/>
      <w:keepLines/>
      <w:ind w:firstLine="0" w:firstLineChars="0"/>
      <w:outlineLvl w:val="3"/>
    </w:pPr>
    <w:rPr>
      <w:bCs/>
      <w:szCs w:val="28"/>
    </w:rPr>
  </w:style>
  <w:style w:type="paragraph" w:styleId="6">
    <w:name w:val="heading 5"/>
    <w:basedOn w:val="1"/>
    <w:next w:val="1"/>
    <w:link w:val="279"/>
    <w:qFormat/>
    <w:uiPriority w:val="0"/>
    <w:pPr>
      <w:keepNext/>
      <w:keepLines/>
      <w:tabs>
        <w:tab w:val="left" w:pos="1008"/>
      </w:tabs>
      <w:adjustRightInd w:val="0"/>
      <w:spacing w:before="280" w:after="290" w:line="376" w:lineRule="atLeast"/>
      <w:ind w:left="1008" w:hanging="1008"/>
      <w:outlineLvl w:val="4"/>
    </w:pPr>
    <w:rPr>
      <w:b/>
      <w:kern w:val="0"/>
      <w:sz w:val="28"/>
      <w:szCs w:val="20"/>
    </w:rPr>
  </w:style>
  <w:style w:type="paragraph" w:styleId="7">
    <w:name w:val="heading 6"/>
    <w:basedOn w:val="1"/>
    <w:next w:val="1"/>
    <w:link w:val="280"/>
    <w:qFormat/>
    <w:uiPriority w:val="0"/>
    <w:pPr>
      <w:keepNext/>
      <w:keepLines/>
      <w:tabs>
        <w:tab w:val="left" w:pos="1152"/>
      </w:tabs>
      <w:spacing w:before="240" w:after="64" w:line="320" w:lineRule="auto"/>
      <w:ind w:left="1152" w:hanging="1152"/>
      <w:outlineLvl w:val="5"/>
    </w:pPr>
    <w:rPr>
      <w:rFonts w:ascii="Arial" w:hAnsi="Arial" w:eastAsia="黑体"/>
      <w:b/>
      <w:bCs/>
      <w:kern w:val="0"/>
      <w:sz w:val="28"/>
    </w:rPr>
  </w:style>
  <w:style w:type="paragraph" w:styleId="8">
    <w:name w:val="heading 7"/>
    <w:basedOn w:val="1"/>
    <w:next w:val="1"/>
    <w:link w:val="281"/>
    <w:qFormat/>
    <w:uiPriority w:val="0"/>
    <w:pPr>
      <w:keepNext/>
      <w:keepLines/>
      <w:tabs>
        <w:tab w:val="left" w:pos="1296"/>
      </w:tabs>
      <w:spacing w:before="240" w:after="64" w:line="320" w:lineRule="auto"/>
      <w:ind w:left="1296" w:hanging="1296"/>
      <w:outlineLvl w:val="6"/>
    </w:pPr>
    <w:rPr>
      <w:b/>
      <w:bCs/>
      <w:kern w:val="0"/>
      <w:sz w:val="28"/>
    </w:rPr>
  </w:style>
  <w:style w:type="paragraph" w:styleId="9">
    <w:name w:val="heading 8"/>
    <w:basedOn w:val="1"/>
    <w:next w:val="1"/>
    <w:link w:val="282"/>
    <w:qFormat/>
    <w:uiPriority w:val="0"/>
    <w:pPr>
      <w:keepNext/>
      <w:keepLines/>
      <w:tabs>
        <w:tab w:val="left" w:pos="1440"/>
      </w:tabs>
      <w:spacing w:before="240" w:after="64" w:line="320" w:lineRule="auto"/>
      <w:ind w:left="1440" w:hanging="1440"/>
      <w:outlineLvl w:val="7"/>
    </w:pPr>
    <w:rPr>
      <w:rFonts w:ascii="Arial" w:hAnsi="Arial" w:eastAsia="黑体"/>
      <w:kern w:val="0"/>
      <w:sz w:val="28"/>
    </w:rPr>
  </w:style>
  <w:style w:type="paragraph" w:styleId="10">
    <w:name w:val="heading 9"/>
    <w:basedOn w:val="1"/>
    <w:next w:val="1"/>
    <w:link w:val="283"/>
    <w:qFormat/>
    <w:uiPriority w:val="0"/>
    <w:pPr>
      <w:keepNext/>
      <w:keepLines/>
      <w:tabs>
        <w:tab w:val="left" w:pos="1584"/>
      </w:tabs>
      <w:spacing w:before="240" w:after="64" w:line="320" w:lineRule="auto"/>
      <w:ind w:left="1584" w:hanging="1584"/>
      <w:outlineLvl w:val="8"/>
    </w:pPr>
    <w:rPr>
      <w:rFonts w:ascii="Arial" w:hAnsi="Arial" w:eastAsia="黑体"/>
      <w:kern w:val="0"/>
      <w:sz w:val="28"/>
      <w:szCs w:val="21"/>
    </w:rPr>
  </w:style>
  <w:style w:type="character" w:default="1" w:styleId="55">
    <w:name w:val="Default Paragraph Font"/>
    <w:unhideWhenUsed/>
    <w:qFormat/>
    <w:uiPriority w:val="1"/>
  </w:style>
  <w:style w:type="table" w:default="1" w:styleId="47">
    <w:name w:val="Normal Table"/>
    <w:unhideWhenUsed/>
    <w:qFormat/>
    <w:uiPriority w:val="99"/>
    <w:tblPr>
      <w:tblCellMar>
        <w:top w:w="0" w:type="dxa"/>
        <w:left w:w="108" w:type="dxa"/>
        <w:bottom w:w="0" w:type="dxa"/>
        <w:right w:w="108" w:type="dxa"/>
      </w:tblCellMar>
    </w:tblPr>
  </w:style>
  <w:style w:type="paragraph" w:styleId="11">
    <w:name w:val="toc 7"/>
    <w:basedOn w:val="1"/>
    <w:next w:val="1"/>
    <w:qFormat/>
    <w:uiPriority w:val="39"/>
    <w:pPr>
      <w:ind w:left="1260"/>
      <w:jc w:val="left"/>
    </w:pPr>
    <w:rPr>
      <w:sz w:val="18"/>
      <w:szCs w:val="18"/>
    </w:rPr>
  </w:style>
  <w:style w:type="paragraph" w:styleId="12">
    <w:name w:val="Normal Indent"/>
    <w:basedOn w:val="1"/>
    <w:link w:val="87"/>
    <w:qFormat/>
    <w:uiPriority w:val="0"/>
    <w:pPr>
      <w:autoSpaceDE w:val="0"/>
      <w:autoSpaceDN w:val="0"/>
      <w:adjustRightInd w:val="0"/>
      <w:ind w:firstLine="420"/>
      <w:textAlignment w:val="baseline"/>
    </w:pPr>
    <w:rPr>
      <w:kern w:val="0"/>
      <w:sz w:val="28"/>
      <w:szCs w:val="20"/>
    </w:rPr>
  </w:style>
  <w:style w:type="paragraph" w:styleId="13">
    <w:name w:val="caption"/>
    <w:basedOn w:val="1"/>
    <w:next w:val="1"/>
    <w:qFormat/>
    <w:uiPriority w:val="0"/>
    <w:rPr>
      <w:rFonts w:ascii="Arial" w:hAnsi="Arial" w:eastAsia="黑体" w:cs="Arial"/>
      <w:sz w:val="20"/>
      <w:szCs w:val="20"/>
    </w:rPr>
  </w:style>
  <w:style w:type="paragraph" w:styleId="14">
    <w:name w:val="List Bullet"/>
    <w:basedOn w:val="1"/>
    <w:qFormat/>
    <w:uiPriority w:val="0"/>
    <w:pPr>
      <w:tabs>
        <w:tab w:val="left" w:pos="360"/>
      </w:tabs>
      <w:autoSpaceDE w:val="0"/>
      <w:autoSpaceDN w:val="0"/>
      <w:adjustRightInd w:val="0"/>
      <w:snapToGrid w:val="0"/>
      <w:spacing w:line="540" w:lineRule="exact"/>
      <w:ind w:left="360" w:hanging="360"/>
    </w:pPr>
    <w:rPr>
      <w:rFonts w:ascii="仿宋_GB2312" w:hAnsi="宋体" w:eastAsia="仿宋_GB2312"/>
      <w:sz w:val="28"/>
      <w:szCs w:val="28"/>
    </w:rPr>
  </w:style>
  <w:style w:type="paragraph" w:styleId="15">
    <w:name w:val="Document Map"/>
    <w:basedOn w:val="1"/>
    <w:link w:val="90"/>
    <w:qFormat/>
    <w:uiPriority w:val="0"/>
    <w:pPr>
      <w:shd w:val="clear" w:color="auto" w:fill="000080"/>
    </w:pPr>
  </w:style>
  <w:style w:type="paragraph" w:styleId="16">
    <w:name w:val="toa heading"/>
    <w:basedOn w:val="1"/>
    <w:next w:val="1"/>
    <w:qFormat/>
    <w:uiPriority w:val="0"/>
    <w:pPr>
      <w:spacing w:before="120"/>
    </w:pPr>
    <w:rPr>
      <w:rFonts w:ascii="Arial" w:hAnsi="Arial" w:cs="Arial"/>
    </w:rPr>
  </w:style>
  <w:style w:type="paragraph" w:styleId="17">
    <w:name w:val="annotation text"/>
    <w:basedOn w:val="1"/>
    <w:link w:val="307"/>
    <w:qFormat/>
    <w:uiPriority w:val="0"/>
    <w:pPr>
      <w:jc w:val="left"/>
    </w:pPr>
    <w:rPr>
      <w:szCs w:val="20"/>
      <w:lang w:val="zh-CN"/>
    </w:rPr>
  </w:style>
  <w:style w:type="paragraph" w:styleId="18">
    <w:name w:val="Body Text 3"/>
    <w:basedOn w:val="1"/>
    <w:link w:val="413"/>
    <w:qFormat/>
    <w:uiPriority w:val="0"/>
    <w:pPr>
      <w:autoSpaceDE w:val="0"/>
      <w:autoSpaceDN w:val="0"/>
    </w:pPr>
    <w:rPr>
      <w:rFonts w:ascii="仿宋_GB2312" w:eastAsia="仿宋_GB2312"/>
      <w:sz w:val="28"/>
      <w:szCs w:val="28"/>
    </w:rPr>
  </w:style>
  <w:style w:type="paragraph" w:styleId="19">
    <w:name w:val="Closing"/>
    <w:basedOn w:val="20"/>
    <w:link w:val="337"/>
    <w:qFormat/>
    <w:uiPriority w:val="0"/>
    <w:pPr>
      <w:spacing w:before="0" w:after="0" w:line="240" w:lineRule="auto"/>
    </w:pPr>
    <w:rPr>
      <w:rFonts w:ascii="Arial" w:hAnsi="Arial" w:eastAsia="华文楷体" w:cs="Arial"/>
      <w:sz w:val="40"/>
      <w:szCs w:val="40"/>
      <w:lang w:val="en-US"/>
    </w:rPr>
  </w:style>
  <w:style w:type="paragraph" w:styleId="20">
    <w:name w:val="Subtitle"/>
    <w:basedOn w:val="1"/>
    <w:next w:val="1"/>
    <w:link w:val="258"/>
    <w:qFormat/>
    <w:uiPriority w:val="0"/>
    <w:pPr>
      <w:spacing w:before="240" w:after="60" w:line="312" w:lineRule="auto"/>
      <w:jc w:val="center"/>
      <w:outlineLvl w:val="1"/>
    </w:pPr>
    <w:rPr>
      <w:rFonts w:ascii="Cambria" w:hAnsi="Cambria"/>
      <w:b/>
      <w:bCs/>
      <w:kern w:val="28"/>
      <w:sz w:val="32"/>
      <w:szCs w:val="32"/>
      <w:lang w:val="zh-CN"/>
    </w:rPr>
  </w:style>
  <w:style w:type="paragraph" w:styleId="21">
    <w:name w:val="Body Text"/>
    <w:basedOn w:val="1"/>
    <w:link w:val="79"/>
    <w:qFormat/>
    <w:uiPriority w:val="0"/>
    <w:pPr>
      <w:spacing w:after="120"/>
    </w:pPr>
  </w:style>
  <w:style w:type="paragraph" w:styleId="22">
    <w:name w:val="Body Text Indent"/>
    <w:basedOn w:val="1"/>
    <w:link w:val="77"/>
    <w:qFormat/>
    <w:uiPriority w:val="0"/>
    <w:pPr>
      <w:spacing w:after="120"/>
      <w:ind w:left="420" w:leftChars="200"/>
    </w:pPr>
  </w:style>
  <w:style w:type="paragraph" w:styleId="23">
    <w:name w:val="toc 5"/>
    <w:basedOn w:val="1"/>
    <w:next w:val="1"/>
    <w:qFormat/>
    <w:uiPriority w:val="39"/>
    <w:pPr>
      <w:ind w:left="840"/>
      <w:jc w:val="left"/>
    </w:pPr>
    <w:rPr>
      <w:sz w:val="18"/>
      <w:szCs w:val="18"/>
    </w:rPr>
  </w:style>
  <w:style w:type="paragraph" w:styleId="24">
    <w:name w:val="toc 3"/>
    <w:basedOn w:val="1"/>
    <w:next w:val="1"/>
    <w:qFormat/>
    <w:uiPriority w:val="39"/>
    <w:pPr>
      <w:ind w:left="420"/>
      <w:jc w:val="left"/>
    </w:pPr>
    <w:rPr>
      <w:iCs/>
      <w:sz w:val="20"/>
      <w:szCs w:val="20"/>
    </w:rPr>
  </w:style>
  <w:style w:type="paragraph" w:styleId="25">
    <w:name w:val="Plain Text"/>
    <w:basedOn w:val="1"/>
    <w:link w:val="82"/>
    <w:qFormat/>
    <w:uiPriority w:val="0"/>
    <w:rPr>
      <w:rFonts w:ascii="宋体" w:hAnsi="Courier New"/>
      <w:sz w:val="25"/>
      <w:szCs w:val="20"/>
    </w:rPr>
  </w:style>
  <w:style w:type="paragraph" w:styleId="26">
    <w:name w:val="toc 8"/>
    <w:basedOn w:val="1"/>
    <w:next w:val="1"/>
    <w:qFormat/>
    <w:uiPriority w:val="39"/>
    <w:pPr>
      <w:ind w:left="1470"/>
      <w:jc w:val="left"/>
    </w:pPr>
    <w:rPr>
      <w:sz w:val="18"/>
      <w:szCs w:val="18"/>
    </w:rPr>
  </w:style>
  <w:style w:type="paragraph" w:styleId="27">
    <w:name w:val="Date"/>
    <w:basedOn w:val="1"/>
    <w:next w:val="1"/>
    <w:link w:val="359"/>
    <w:qFormat/>
    <w:uiPriority w:val="0"/>
    <w:pPr>
      <w:ind w:left="100" w:leftChars="2500"/>
    </w:pPr>
  </w:style>
  <w:style w:type="paragraph" w:styleId="28">
    <w:name w:val="Body Text Indent 2"/>
    <w:basedOn w:val="1"/>
    <w:link w:val="357"/>
    <w:qFormat/>
    <w:uiPriority w:val="0"/>
    <w:pPr>
      <w:spacing w:after="120" w:line="480" w:lineRule="auto"/>
      <w:ind w:left="420" w:leftChars="200"/>
    </w:pPr>
  </w:style>
  <w:style w:type="paragraph" w:styleId="29">
    <w:name w:val="Balloon Text"/>
    <w:basedOn w:val="1"/>
    <w:link w:val="361"/>
    <w:semiHidden/>
    <w:qFormat/>
    <w:uiPriority w:val="0"/>
    <w:rPr>
      <w:sz w:val="18"/>
      <w:szCs w:val="18"/>
    </w:rPr>
  </w:style>
  <w:style w:type="paragraph" w:styleId="30">
    <w:name w:val="footer"/>
    <w:basedOn w:val="1"/>
    <w:link w:val="93"/>
    <w:qFormat/>
    <w:uiPriority w:val="99"/>
    <w:pPr>
      <w:tabs>
        <w:tab w:val="center" w:pos="4153"/>
        <w:tab w:val="right" w:pos="8306"/>
      </w:tabs>
      <w:snapToGrid w:val="0"/>
      <w:jc w:val="left"/>
    </w:pPr>
    <w:rPr>
      <w:sz w:val="18"/>
      <w:szCs w:val="18"/>
    </w:rPr>
  </w:style>
  <w:style w:type="paragraph" w:styleId="31">
    <w:name w:val="header"/>
    <w:basedOn w:val="1"/>
    <w:link w:val="122"/>
    <w:qFormat/>
    <w:uiPriority w:val="99"/>
    <w:pPr>
      <w:pBdr>
        <w:bottom w:val="single" w:color="auto" w:sz="6" w:space="1"/>
      </w:pBdr>
      <w:tabs>
        <w:tab w:val="center" w:pos="4153"/>
        <w:tab w:val="right" w:pos="8306"/>
      </w:tabs>
      <w:snapToGrid w:val="0"/>
      <w:jc w:val="center"/>
    </w:pPr>
    <w:rPr>
      <w:sz w:val="18"/>
      <w:szCs w:val="18"/>
    </w:rPr>
  </w:style>
  <w:style w:type="paragraph" w:styleId="32">
    <w:name w:val="toc 1"/>
    <w:basedOn w:val="1"/>
    <w:next w:val="1"/>
    <w:qFormat/>
    <w:uiPriority w:val="39"/>
    <w:pPr>
      <w:spacing w:before="120" w:after="120"/>
      <w:jc w:val="left"/>
    </w:pPr>
    <w:rPr>
      <w:rFonts w:eastAsia="黑体"/>
      <w:b/>
      <w:bCs/>
      <w:caps/>
      <w:szCs w:val="20"/>
    </w:rPr>
  </w:style>
  <w:style w:type="paragraph" w:styleId="33">
    <w:name w:val="toc 4"/>
    <w:basedOn w:val="1"/>
    <w:next w:val="1"/>
    <w:qFormat/>
    <w:uiPriority w:val="39"/>
    <w:pPr>
      <w:ind w:left="630"/>
      <w:jc w:val="left"/>
    </w:pPr>
    <w:rPr>
      <w:sz w:val="18"/>
      <w:szCs w:val="18"/>
    </w:rPr>
  </w:style>
  <w:style w:type="paragraph" w:styleId="34">
    <w:name w:val="List"/>
    <w:basedOn w:val="1"/>
    <w:next w:val="1"/>
    <w:qFormat/>
    <w:uiPriority w:val="0"/>
    <w:pPr>
      <w:tabs>
        <w:tab w:val="left" w:pos="1271"/>
      </w:tabs>
      <w:autoSpaceDE w:val="0"/>
      <w:autoSpaceDN w:val="0"/>
      <w:spacing w:before="120" w:after="120"/>
      <w:ind w:left="1271" w:hanging="420"/>
      <w:jc w:val="center"/>
      <w:outlineLvl w:val="1"/>
    </w:pPr>
    <w:rPr>
      <w:rFonts w:eastAsia="黑体"/>
      <w:b/>
      <w:spacing w:val="6"/>
      <w:sz w:val="28"/>
      <w:szCs w:val="20"/>
    </w:rPr>
  </w:style>
  <w:style w:type="paragraph" w:styleId="35">
    <w:name w:val="toc 6"/>
    <w:basedOn w:val="1"/>
    <w:next w:val="1"/>
    <w:qFormat/>
    <w:uiPriority w:val="39"/>
    <w:pPr>
      <w:ind w:left="1050"/>
      <w:jc w:val="left"/>
    </w:pPr>
    <w:rPr>
      <w:sz w:val="18"/>
      <w:szCs w:val="18"/>
    </w:rPr>
  </w:style>
  <w:style w:type="paragraph" w:styleId="36">
    <w:name w:val="Body Text Indent 3"/>
    <w:basedOn w:val="1"/>
    <w:link w:val="358"/>
    <w:qFormat/>
    <w:uiPriority w:val="0"/>
    <w:pPr>
      <w:spacing w:after="120"/>
      <w:ind w:left="420" w:leftChars="200"/>
    </w:pPr>
    <w:rPr>
      <w:sz w:val="16"/>
      <w:szCs w:val="16"/>
    </w:rPr>
  </w:style>
  <w:style w:type="paragraph" w:styleId="37">
    <w:name w:val="table of figures"/>
    <w:basedOn w:val="1"/>
    <w:next w:val="1"/>
    <w:semiHidden/>
    <w:qFormat/>
    <w:uiPriority w:val="0"/>
    <w:pPr>
      <w:spacing w:afterLines="30" w:line="324" w:lineRule="auto"/>
      <w:ind w:left="420" w:hanging="420"/>
      <w:jc w:val="center"/>
    </w:pPr>
    <w:rPr>
      <w:rFonts w:eastAsia="华文细黑"/>
      <w:b/>
      <w:bCs/>
      <w:smallCaps/>
    </w:rPr>
  </w:style>
  <w:style w:type="paragraph" w:styleId="38">
    <w:name w:val="toc 2"/>
    <w:basedOn w:val="1"/>
    <w:next w:val="1"/>
    <w:qFormat/>
    <w:uiPriority w:val="39"/>
    <w:pPr>
      <w:ind w:left="210"/>
      <w:jc w:val="left"/>
    </w:pPr>
    <w:rPr>
      <w:smallCaps/>
      <w:szCs w:val="20"/>
    </w:rPr>
  </w:style>
  <w:style w:type="paragraph" w:styleId="39">
    <w:name w:val="toc 9"/>
    <w:basedOn w:val="1"/>
    <w:next w:val="1"/>
    <w:qFormat/>
    <w:uiPriority w:val="39"/>
    <w:pPr>
      <w:ind w:left="1680"/>
      <w:jc w:val="left"/>
    </w:pPr>
    <w:rPr>
      <w:sz w:val="18"/>
      <w:szCs w:val="18"/>
    </w:rPr>
  </w:style>
  <w:style w:type="paragraph" w:styleId="40">
    <w:name w:val="Body Text 2"/>
    <w:basedOn w:val="1"/>
    <w:link w:val="360"/>
    <w:qFormat/>
    <w:uiPriority w:val="0"/>
    <w:pPr>
      <w:spacing w:after="120" w:line="480" w:lineRule="auto"/>
    </w:pPr>
  </w:style>
  <w:style w:type="paragraph" w:styleId="41">
    <w:name w:val="HTML Preformatted"/>
    <w:basedOn w:val="1"/>
    <w:link w:val="414"/>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lang w:val="zh-CN"/>
    </w:rPr>
  </w:style>
  <w:style w:type="paragraph" w:styleId="42">
    <w:name w:val="Normal (Web)"/>
    <w:basedOn w:val="1"/>
    <w:qFormat/>
    <w:uiPriority w:val="99"/>
    <w:pPr>
      <w:widowControl/>
      <w:spacing w:before="100" w:beforeAutospacing="1" w:after="100" w:afterAutospacing="1"/>
      <w:jc w:val="left"/>
    </w:pPr>
    <w:rPr>
      <w:rFonts w:ascii="宋体" w:hAnsi="宋体" w:cs="宋体"/>
      <w:kern w:val="0"/>
    </w:rPr>
  </w:style>
  <w:style w:type="paragraph" w:styleId="43">
    <w:name w:val="index 1"/>
    <w:basedOn w:val="1"/>
    <w:next w:val="1"/>
    <w:qFormat/>
    <w:uiPriority w:val="0"/>
    <w:rPr>
      <w:sz w:val="28"/>
    </w:rPr>
  </w:style>
  <w:style w:type="paragraph" w:styleId="44">
    <w:name w:val="Title"/>
    <w:basedOn w:val="1"/>
    <w:link w:val="331"/>
    <w:qFormat/>
    <w:uiPriority w:val="0"/>
    <w:pPr>
      <w:spacing w:before="240" w:after="60"/>
      <w:jc w:val="center"/>
      <w:outlineLvl w:val="0"/>
    </w:pPr>
    <w:rPr>
      <w:rFonts w:ascii="Arial" w:hAnsi="Arial"/>
      <w:b/>
      <w:bCs/>
      <w:sz w:val="32"/>
      <w:szCs w:val="32"/>
      <w:lang w:val="zh-CN"/>
    </w:rPr>
  </w:style>
  <w:style w:type="paragraph" w:styleId="45">
    <w:name w:val="annotation subject"/>
    <w:basedOn w:val="17"/>
    <w:next w:val="17"/>
    <w:link w:val="308"/>
    <w:qFormat/>
    <w:uiPriority w:val="0"/>
    <w:rPr>
      <w:b/>
      <w:bCs/>
    </w:rPr>
  </w:style>
  <w:style w:type="paragraph" w:styleId="46">
    <w:name w:val="Body Text First Indent 2"/>
    <w:basedOn w:val="22"/>
    <w:link w:val="412"/>
    <w:qFormat/>
    <w:uiPriority w:val="0"/>
    <w:pPr>
      <w:autoSpaceDE w:val="0"/>
      <w:autoSpaceDN w:val="0"/>
      <w:ind w:firstLine="420"/>
    </w:pPr>
    <w:rPr>
      <w:rFonts w:eastAsia="仿宋_GB2312"/>
    </w:rPr>
  </w:style>
  <w:style w:type="table" w:styleId="48">
    <w:name w:val="Table Grid"/>
    <w:basedOn w:val="47"/>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49">
    <w:name w:val="Table Theme"/>
    <w:basedOn w:val="4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50">
    <w:name w:val="Table Elegant"/>
    <w:basedOn w:val="47"/>
    <w:qFormat/>
    <w:uiPriority w:val="0"/>
    <w:pPr>
      <w:widowControl w:val="0"/>
      <w:jc w:val="both"/>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51">
    <w:name w:val="Table Grid 1"/>
    <w:basedOn w:val="47"/>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color="000000" w:sz="6" w:space="0"/>
          <w:tr2bl w:val="nil"/>
        </w:tcBorders>
      </w:tcPr>
    </w:tblStylePr>
  </w:style>
  <w:style w:type="table" w:styleId="52">
    <w:name w:val="Table Grid 4"/>
    <w:basedOn w:val="47"/>
    <w:qFormat/>
    <w:uiPriority w:val="0"/>
    <w:pPr>
      <w:widowControl w:val="0"/>
      <w:jc w:val="both"/>
    </w:pPr>
    <w:tblPr>
      <w:tblBorders>
        <w:left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olor w:val="auto"/>
      </w:rPr>
      <w:tblPr/>
      <w:tcPr>
        <w:tcBorders>
          <w:bottom w:val="single" w:color="000000" w:sz="6" w:space="0"/>
          <w:tl2br w:val="nil"/>
          <w:tr2bl w:val="nil"/>
        </w:tcBorders>
        <w:shd w:val="pct30" w:color="FFFF00" w:fill="FFFFFF"/>
      </w:tcPr>
    </w:tblStylePr>
    <w:tblStylePr w:type="lastRow">
      <w:rPr>
        <w:b/>
        <w:bCs/>
        <w:color w:val="auto"/>
      </w:rPr>
      <w:tblPr/>
      <w:tcPr>
        <w:tcBorders>
          <w:top w:val="single" w:color="000000" w:sz="6" w:space="0"/>
          <w:tl2br w:val="nil"/>
          <w:tr2bl w:val="nil"/>
        </w:tcBorders>
        <w:shd w:val="pct30" w:color="FFFF00" w:fill="FFFFFF"/>
      </w:tcPr>
    </w:tblStylePr>
    <w:tblStylePr w:type="lastCol">
      <w:rPr>
        <w:b/>
        <w:bCs/>
        <w:color w:val="auto"/>
      </w:rPr>
      <w:tblPr/>
      <w:tcPr>
        <w:tcBorders>
          <w:tl2br w:val="nil"/>
          <w:tr2bl w:val="nil"/>
        </w:tcBorders>
      </w:tcPr>
    </w:tblStylePr>
  </w:style>
  <w:style w:type="table" w:styleId="53">
    <w:name w:val="Table Grid 5"/>
    <w:basedOn w:val="47"/>
    <w:qFormat/>
    <w:uiPriority w:val="0"/>
    <w:pPr>
      <w:widowControl w:val="0"/>
      <w:spacing w:line="360" w:lineRule="auto"/>
      <w:ind w:firstLine="480" w:firstLineChars="200"/>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tblPr/>
      <w:tcPr>
        <w:tcBorders>
          <w:top w:val="nil"/>
          <w:left w:val="nil"/>
          <w:bottom w:val="single" w:color="000000" w:sz="12" w:space="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54">
    <w:name w:val="Table Grid 7"/>
    <w:basedOn w:val="47"/>
    <w:qFormat/>
    <w:uiPriority w:val="0"/>
    <w:pPr>
      <w:widowControl w:val="0"/>
      <w:ind w:firstLine="510"/>
      <w:jc w:val="both"/>
    </w:pPr>
    <w:rPr>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val="0"/>
        <w:bCs w:val="0"/>
      </w:rPr>
      <w:tblPr/>
      <w:tcPr>
        <w:tcBorders>
          <w:bottom w:val="single" w:color="000000" w:sz="12" w:space="0"/>
          <w:tl2br w:val="nil"/>
          <w:tr2bl w:val="nil"/>
        </w:tcBorders>
      </w:tcPr>
    </w:tblStylePr>
    <w:tblStylePr w:type="lastRow">
      <w:rPr>
        <w:b w:val="0"/>
        <w:bCs w:val="0"/>
      </w:rPr>
      <w:tblPr/>
      <w:tcPr>
        <w:tcBorders>
          <w:top w:val="single" w:color="000000" w:sz="6" w:space="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color="000000" w:sz="6" w:space="0"/>
          <w:tr2bl w:val="nil"/>
        </w:tcBorders>
      </w:tcPr>
    </w:tblStylePr>
  </w:style>
  <w:style w:type="character" w:styleId="56">
    <w:name w:val="Strong"/>
    <w:qFormat/>
    <w:uiPriority w:val="0"/>
    <w:rPr>
      <w:b/>
      <w:bCs/>
    </w:rPr>
  </w:style>
  <w:style w:type="character" w:styleId="57">
    <w:name w:val="page number"/>
    <w:basedOn w:val="55"/>
    <w:qFormat/>
    <w:uiPriority w:val="0"/>
  </w:style>
  <w:style w:type="character" w:styleId="58">
    <w:name w:val="FollowedHyperlink"/>
    <w:qFormat/>
    <w:uiPriority w:val="99"/>
    <w:rPr>
      <w:color w:val="800080"/>
      <w:u w:val="single"/>
    </w:rPr>
  </w:style>
  <w:style w:type="character" w:styleId="59">
    <w:name w:val="Hyperlink"/>
    <w:qFormat/>
    <w:uiPriority w:val="99"/>
    <w:rPr>
      <w:color w:val="0000FF"/>
      <w:u w:val="single"/>
    </w:rPr>
  </w:style>
  <w:style w:type="character" w:styleId="60">
    <w:name w:val="annotation reference"/>
    <w:basedOn w:val="55"/>
    <w:qFormat/>
    <w:uiPriority w:val="0"/>
    <w:rPr>
      <w:sz w:val="21"/>
      <w:szCs w:val="21"/>
    </w:rPr>
  </w:style>
  <w:style w:type="character" w:customStyle="1" w:styleId="61">
    <w:name w:val="标题 1 Char"/>
    <w:link w:val="2"/>
    <w:qFormat/>
    <w:uiPriority w:val="0"/>
    <w:rPr>
      <w:rFonts w:eastAsia="黑体"/>
      <w:bCs/>
      <w:kern w:val="44"/>
      <w:sz w:val="32"/>
      <w:szCs w:val="44"/>
    </w:rPr>
  </w:style>
  <w:style w:type="character" w:customStyle="1" w:styleId="62">
    <w:name w:val="标题 2 Char"/>
    <w:link w:val="3"/>
    <w:qFormat/>
    <w:uiPriority w:val="0"/>
    <w:rPr>
      <w:rFonts w:eastAsia="黑体"/>
      <w:bCs/>
      <w:kern w:val="2"/>
      <w:sz w:val="28"/>
      <w:szCs w:val="32"/>
    </w:rPr>
  </w:style>
  <w:style w:type="character" w:customStyle="1" w:styleId="63">
    <w:name w:val="标题 3 Char1"/>
    <w:link w:val="4"/>
    <w:qFormat/>
    <w:uiPriority w:val="0"/>
    <w:rPr>
      <w:rFonts w:eastAsia="宋体"/>
      <w:b/>
      <w:bCs/>
      <w:kern w:val="2"/>
      <w:sz w:val="32"/>
      <w:szCs w:val="32"/>
      <w:lang w:val="en-US" w:eastAsia="zh-CN" w:bidi="ar-SA"/>
    </w:rPr>
  </w:style>
  <w:style w:type="paragraph" w:customStyle="1" w:styleId="64">
    <w:name w:val="Char Char7 Char Char"/>
    <w:basedOn w:val="1"/>
    <w:qFormat/>
    <w:uiPriority w:val="0"/>
    <w:pPr>
      <w:widowControl/>
      <w:spacing w:after="160" w:line="240" w:lineRule="exact"/>
      <w:jc w:val="left"/>
    </w:pPr>
  </w:style>
  <w:style w:type="character" w:customStyle="1" w:styleId="65">
    <w:name w:val="cdred fb"/>
    <w:basedOn w:val="55"/>
    <w:qFormat/>
    <w:uiPriority w:val="0"/>
  </w:style>
  <w:style w:type="character" w:customStyle="1" w:styleId="66">
    <w:name w:val="公表序 Char Char"/>
    <w:link w:val="67"/>
    <w:qFormat/>
    <w:uiPriority w:val="0"/>
    <w:rPr>
      <w:rFonts w:ascii="黑体" w:hAnsi="Swis721 Lt BT" w:eastAsia="黑体"/>
      <w:kern w:val="2"/>
      <w:sz w:val="24"/>
      <w:szCs w:val="28"/>
      <w:lang w:val="en-US" w:eastAsia="zh-CN" w:bidi="ar-SA"/>
    </w:rPr>
  </w:style>
  <w:style w:type="paragraph" w:customStyle="1" w:styleId="67">
    <w:name w:val="公表序 Char"/>
    <w:basedOn w:val="68"/>
    <w:link w:val="66"/>
    <w:qFormat/>
    <w:uiPriority w:val="0"/>
    <w:pPr>
      <w:spacing w:line="300" w:lineRule="auto"/>
      <w:ind w:firstLine="100" w:firstLineChars="100"/>
      <w:outlineLvl w:val="9"/>
    </w:pPr>
    <w:rPr>
      <w:rFonts w:ascii="黑体" w:eastAsia="黑体"/>
      <w:sz w:val="24"/>
    </w:rPr>
  </w:style>
  <w:style w:type="paragraph" w:customStyle="1" w:styleId="68">
    <w:name w:val="公标题4 Char"/>
    <w:basedOn w:val="1"/>
    <w:link w:val="69"/>
    <w:qFormat/>
    <w:uiPriority w:val="0"/>
    <w:pPr>
      <w:autoSpaceDE w:val="0"/>
      <w:autoSpaceDN w:val="0"/>
      <w:adjustRightInd w:val="0"/>
      <w:snapToGrid w:val="0"/>
      <w:spacing w:line="355" w:lineRule="auto"/>
      <w:outlineLvl w:val="3"/>
    </w:pPr>
    <w:rPr>
      <w:rFonts w:ascii="Swis721 Lt BT" w:hAnsi="Swis721 Lt BT" w:eastAsia="方正细黑一简体"/>
      <w:sz w:val="28"/>
      <w:szCs w:val="28"/>
    </w:rPr>
  </w:style>
  <w:style w:type="character" w:customStyle="1" w:styleId="69">
    <w:name w:val="公标题4 Char Char"/>
    <w:link w:val="68"/>
    <w:qFormat/>
    <w:uiPriority w:val="0"/>
    <w:rPr>
      <w:rFonts w:ascii="Swis721 Lt BT" w:hAnsi="Swis721 Lt BT" w:eastAsia="方正细黑一简体"/>
      <w:kern w:val="2"/>
      <w:sz w:val="28"/>
      <w:szCs w:val="28"/>
      <w:lang w:val="en-US" w:eastAsia="zh-CN" w:bidi="ar-SA"/>
    </w:rPr>
  </w:style>
  <w:style w:type="character" w:customStyle="1" w:styleId="70">
    <w:name w:val="标题 3 Char Char1"/>
    <w:qFormat/>
    <w:uiPriority w:val="0"/>
    <w:rPr>
      <w:rFonts w:ascii="Arial" w:hAnsi="Arial" w:eastAsia="方正小标宋_GBK"/>
      <w:sz w:val="28"/>
      <w:szCs w:val="28"/>
      <w:lang w:val="en-US" w:eastAsia="zh-CN" w:bidi="ar-SA"/>
    </w:rPr>
  </w:style>
  <w:style w:type="character" w:customStyle="1" w:styleId="71">
    <w:name w:val="样式 样式 样式 正文文本正文文字 Char + 首行缩进:  2 字符1 Char + Times New Roman + 黑色 Char Char"/>
    <w:link w:val="72"/>
    <w:qFormat/>
    <w:uiPriority w:val="0"/>
    <w:rPr>
      <w:rFonts w:ascii="仿宋_GB2312" w:hAnsi="宋体" w:eastAsia="仿宋_GB2312"/>
      <w:color w:val="000000"/>
      <w:kern w:val="2"/>
      <w:sz w:val="28"/>
      <w:szCs w:val="28"/>
      <w:lang w:val="en-US" w:eastAsia="zh-CN" w:bidi="ar-SA"/>
    </w:rPr>
  </w:style>
  <w:style w:type="paragraph" w:customStyle="1" w:styleId="72">
    <w:name w:val="样式 样式 样式 正文文本正文文字 Char + 首行缩进:  2 字符1 Char + Times New Roman + 黑色 Char"/>
    <w:basedOn w:val="1"/>
    <w:link w:val="71"/>
    <w:qFormat/>
    <w:uiPriority w:val="0"/>
    <w:pPr>
      <w:autoSpaceDE w:val="0"/>
      <w:autoSpaceDN w:val="0"/>
      <w:spacing w:line="560" w:lineRule="exact"/>
    </w:pPr>
    <w:rPr>
      <w:rFonts w:ascii="仿宋_GB2312" w:hAnsi="宋体" w:eastAsia="仿宋_GB2312"/>
      <w:color w:val="000000"/>
      <w:sz w:val="28"/>
      <w:szCs w:val="28"/>
    </w:rPr>
  </w:style>
  <w:style w:type="character" w:customStyle="1" w:styleId="73">
    <w:name w:val="正文文本 Char"/>
    <w:qFormat/>
    <w:uiPriority w:val="0"/>
    <w:rPr>
      <w:rFonts w:eastAsia="宋体"/>
      <w:kern w:val="2"/>
      <w:sz w:val="21"/>
      <w:szCs w:val="24"/>
      <w:lang w:val="en-US" w:eastAsia="zh-CN" w:bidi="ar-SA"/>
    </w:rPr>
  </w:style>
  <w:style w:type="character" w:customStyle="1" w:styleId="74">
    <w:name w:val="样式 表头 + 黑色 Char"/>
    <w:qFormat/>
    <w:uiPriority w:val="0"/>
    <w:rPr>
      <w:rFonts w:ascii="黑体" w:eastAsia="黑体"/>
      <w:color w:val="000000"/>
      <w:kern w:val="2"/>
      <w:sz w:val="24"/>
      <w:szCs w:val="24"/>
      <w:lang w:val="en-US" w:eastAsia="zh-CN"/>
    </w:rPr>
  </w:style>
  <w:style w:type="character" w:customStyle="1" w:styleId="75">
    <w:name w:val="样式 样式 正文文本正文文字 Char + 首行缩进:  2 字符1 Char + Times New Roman Char"/>
    <w:link w:val="76"/>
    <w:qFormat/>
    <w:uiPriority w:val="0"/>
    <w:rPr>
      <w:rFonts w:eastAsia="仿宋_GB2312"/>
      <w:kern w:val="2"/>
      <w:sz w:val="28"/>
      <w:szCs w:val="28"/>
      <w:lang w:val="en-US" w:eastAsia="zh-CN" w:bidi="ar-SA"/>
    </w:rPr>
  </w:style>
  <w:style w:type="paragraph" w:customStyle="1" w:styleId="76">
    <w:name w:val="样式 样式 正文文本正文文字 Char + 首行缩进:  2 字符1 Char + Times New Roman"/>
    <w:basedOn w:val="1"/>
    <w:link w:val="75"/>
    <w:qFormat/>
    <w:uiPriority w:val="0"/>
    <w:pPr>
      <w:autoSpaceDE w:val="0"/>
      <w:autoSpaceDN w:val="0"/>
      <w:spacing w:line="560" w:lineRule="exact"/>
      <w:ind w:firstLine="560"/>
    </w:pPr>
    <w:rPr>
      <w:rFonts w:eastAsia="仿宋_GB2312"/>
      <w:sz w:val="28"/>
      <w:szCs w:val="28"/>
    </w:rPr>
  </w:style>
  <w:style w:type="character" w:customStyle="1" w:styleId="77">
    <w:name w:val="正文文本缩进 Char"/>
    <w:link w:val="22"/>
    <w:qFormat/>
    <w:uiPriority w:val="0"/>
    <w:rPr>
      <w:rFonts w:eastAsia="宋体"/>
      <w:kern w:val="2"/>
      <w:sz w:val="21"/>
      <w:szCs w:val="24"/>
      <w:lang w:val="en-US" w:eastAsia="zh-CN" w:bidi="ar-SA"/>
    </w:rPr>
  </w:style>
  <w:style w:type="character" w:customStyle="1" w:styleId="78">
    <w:name w:val="Char Char10"/>
    <w:qFormat/>
    <w:uiPriority w:val="0"/>
    <w:rPr>
      <w:rFonts w:eastAsia="宋体"/>
      <w:kern w:val="2"/>
      <w:sz w:val="21"/>
      <w:szCs w:val="24"/>
      <w:lang w:val="en-US" w:eastAsia="zh-CN" w:bidi="ar-SA"/>
    </w:rPr>
  </w:style>
  <w:style w:type="character" w:customStyle="1" w:styleId="79">
    <w:name w:val="正文文本 Char1"/>
    <w:link w:val="21"/>
    <w:qFormat/>
    <w:uiPriority w:val="0"/>
    <w:rPr>
      <w:rFonts w:eastAsia="宋体"/>
      <w:kern w:val="2"/>
      <w:sz w:val="21"/>
      <w:szCs w:val="24"/>
      <w:lang w:val="en-US" w:eastAsia="zh-CN" w:bidi="ar-SA"/>
    </w:rPr>
  </w:style>
  <w:style w:type="character" w:customStyle="1" w:styleId="80">
    <w:name w:val="四号 Char"/>
    <w:qFormat/>
    <w:uiPriority w:val="0"/>
    <w:rPr>
      <w:rFonts w:ascii="仿宋_GB2312" w:eastAsia="仿宋_GB2312"/>
      <w:kern w:val="2"/>
      <w:sz w:val="28"/>
      <w:szCs w:val="24"/>
      <w:lang w:val="en-US" w:eastAsia="zh-CN" w:bidi="ar-SA"/>
    </w:rPr>
  </w:style>
  <w:style w:type="character" w:customStyle="1" w:styleId="81">
    <w:name w:val="正文（首行缩进两字）1 Char"/>
    <w:qFormat/>
    <w:uiPriority w:val="0"/>
    <w:rPr>
      <w:rFonts w:ascii="宋体" w:hAnsi="宋体" w:eastAsia="仿宋_GB2312"/>
      <w:kern w:val="2"/>
      <w:sz w:val="28"/>
      <w:szCs w:val="24"/>
      <w:lang w:val="en-US" w:eastAsia="zh-CN" w:bidi="ar-SA"/>
    </w:rPr>
  </w:style>
  <w:style w:type="character" w:customStyle="1" w:styleId="82">
    <w:name w:val="纯文本 Char"/>
    <w:link w:val="25"/>
    <w:qFormat/>
    <w:uiPriority w:val="0"/>
    <w:rPr>
      <w:rFonts w:ascii="宋体" w:hAnsi="Courier New" w:eastAsia="宋体"/>
      <w:kern w:val="2"/>
      <w:sz w:val="25"/>
      <w:lang w:val="en-US" w:eastAsia="zh-CN" w:bidi="ar-SA"/>
    </w:rPr>
  </w:style>
  <w:style w:type="character" w:customStyle="1" w:styleId="83">
    <w:name w:val="公标题2 Char Char"/>
    <w:link w:val="84"/>
    <w:qFormat/>
    <w:uiPriority w:val="0"/>
    <w:rPr>
      <w:rFonts w:ascii="Swis721 BT" w:hAnsi="Swis721 BT" w:eastAsia="黑体"/>
      <w:kern w:val="2"/>
      <w:sz w:val="32"/>
      <w:szCs w:val="28"/>
      <w:lang w:val="en-US" w:eastAsia="zh-CN" w:bidi="ar-SA"/>
    </w:rPr>
  </w:style>
  <w:style w:type="paragraph" w:customStyle="1" w:styleId="84">
    <w:name w:val="公标题2 Char"/>
    <w:basedOn w:val="85"/>
    <w:link w:val="83"/>
    <w:qFormat/>
    <w:uiPriority w:val="0"/>
    <w:pPr>
      <w:spacing w:beforeLines="50" w:afterLines="50"/>
      <w:outlineLvl w:val="1"/>
    </w:pPr>
    <w:rPr>
      <w:sz w:val="32"/>
    </w:rPr>
  </w:style>
  <w:style w:type="paragraph" w:customStyle="1" w:styleId="85">
    <w:name w:val="公标题1"/>
    <w:basedOn w:val="86"/>
    <w:qFormat/>
    <w:uiPriority w:val="0"/>
    <w:pPr>
      <w:spacing w:beforeLines="70" w:afterLines="70"/>
      <w:ind w:firstLine="0" w:firstLineChars="0"/>
      <w:outlineLvl w:val="0"/>
    </w:pPr>
    <w:rPr>
      <w:rFonts w:ascii="Swis721 BT" w:hAnsi="Swis721 BT" w:eastAsia="黑体"/>
      <w:sz w:val="36"/>
    </w:rPr>
  </w:style>
  <w:style w:type="paragraph" w:customStyle="1" w:styleId="86">
    <w:name w:val="公正文 Char"/>
    <w:basedOn w:val="12"/>
    <w:link w:val="88"/>
    <w:qFormat/>
    <w:uiPriority w:val="0"/>
    <w:pPr>
      <w:snapToGrid w:val="0"/>
      <w:spacing w:line="355" w:lineRule="auto"/>
      <w:ind w:firstLine="200"/>
      <w:textAlignment w:val="auto"/>
    </w:pPr>
    <w:rPr>
      <w:rFonts w:ascii="宋体" w:hAnsi="宋体" w:eastAsia="仿宋_GB2312"/>
      <w:kern w:val="2"/>
      <w:szCs w:val="28"/>
    </w:rPr>
  </w:style>
  <w:style w:type="character" w:customStyle="1" w:styleId="87">
    <w:name w:val="正文缩进 Char"/>
    <w:link w:val="12"/>
    <w:qFormat/>
    <w:uiPriority w:val="0"/>
    <w:rPr>
      <w:rFonts w:eastAsia="宋体"/>
      <w:sz w:val="28"/>
      <w:lang w:val="en-US" w:eastAsia="zh-CN" w:bidi="ar-SA"/>
    </w:rPr>
  </w:style>
  <w:style w:type="character" w:customStyle="1" w:styleId="88">
    <w:name w:val="公正文 Char Char"/>
    <w:link w:val="86"/>
    <w:qFormat/>
    <w:uiPriority w:val="0"/>
    <w:rPr>
      <w:rFonts w:ascii="宋体" w:hAnsi="宋体" w:eastAsia="仿宋_GB2312"/>
      <w:kern w:val="2"/>
      <w:sz w:val="28"/>
      <w:szCs w:val="28"/>
      <w:lang w:val="en-US" w:eastAsia="zh-CN" w:bidi="ar-SA"/>
    </w:rPr>
  </w:style>
  <w:style w:type="character" w:customStyle="1" w:styleId="89">
    <w:name w:val="样式 样式 正文文本正文文字 Char + 首行缩进:  2 字符1 Char + Times New Roman Char1"/>
    <w:qFormat/>
    <w:uiPriority w:val="0"/>
    <w:rPr>
      <w:rFonts w:eastAsia="仿宋_GB2312"/>
      <w:kern w:val="2"/>
      <w:sz w:val="28"/>
      <w:szCs w:val="28"/>
      <w:lang w:val="en-US" w:eastAsia="zh-CN" w:bidi="ar-SA"/>
    </w:rPr>
  </w:style>
  <w:style w:type="character" w:customStyle="1" w:styleId="90">
    <w:name w:val="文档结构图 Char"/>
    <w:link w:val="15"/>
    <w:qFormat/>
    <w:uiPriority w:val="0"/>
    <w:rPr>
      <w:rFonts w:eastAsia="宋体"/>
      <w:kern w:val="2"/>
      <w:sz w:val="21"/>
      <w:szCs w:val="24"/>
      <w:lang w:val="en-US" w:eastAsia="zh-CN" w:bidi="ar-SA"/>
    </w:rPr>
  </w:style>
  <w:style w:type="character" w:customStyle="1" w:styleId="91">
    <w:name w:val="样式 公正文 + 首行缩进:  2 字符1 Char"/>
    <w:link w:val="92"/>
    <w:qFormat/>
    <w:uiPriority w:val="0"/>
    <w:rPr>
      <w:rFonts w:ascii="宋体" w:hAnsi="宋体" w:eastAsia="仿宋_GB2312" w:cs="宋体"/>
      <w:kern w:val="2"/>
      <w:sz w:val="28"/>
      <w:lang w:val="en-US" w:eastAsia="zh-CN" w:bidi="ar-SA"/>
    </w:rPr>
  </w:style>
  <w:style w:type="paragraph" w:customStyle="1" w:styleId="92">
    <w:name w:val="样式 公正文 + 首行缩进:  2 字符1"/>
    <w:basedOn w:val="86"/>
    <w:link w:val="91"/>
    <w:qFormat/>
    <w:uiPriority w:val="0"/>
    <w:pPr>
      <w:ind w:firstLine="560"/>
    </w:pPr>
    <w:rPr>
      <w:rFonts w:cs="宋体"/>
      <w:szCs w:val="20"/>
    </w:rPr>
  </w:style>
  <w:style w:type="character" w:customStyle="1" w:styleId="93">
    <w:name w:val="页脚 Char1"/>
    <w:link w:val="30"/>
    <w:qFormat/>
    <w:uiPriority w:val="99"/>
    <w:rPr>
      <w:rFonts w:eastAsia="宋体"/>
      <w:kern w:val="2"/>
      <w:sz w:val="18"/>
      <w:szCs w:val="18"/>
      <w:lang w:val="en-US" w:eastAsia="zh-CN" w:bidi="ar-SA"/>
    </w:rPr>
  </w:style>
  <w:style w:type="character" w:customStyle="1" w:styleId="94">
    <w:name w:val="样式 公正文 + 首行缩进:  2 字符1 Char Char Char"/>
    <w:link w:val="95"/>
    <w:qFormat/>
    <w:uiPriority w:val="0"/>
    <w:rPr>
      <w:rFonts w:ascii="楷体_GB2312" w:hAnsi="宋体" w:eastAsia="楷体_GB2312" w:cs="宋体"/>
      <w:color w:val="000000"/>
      <w:kern w:val="2"/>
      <w:sz w:val="21"/>
      <w:szCs w:val="21"/>
      <w:lang w:val="en-US" w:eastAsia="zh-CN" w:bidi="ar-SA"/>
    </w:rPr>
  </w:style>
  <w:style w:type="paragraph" w:customStyle="1" w:styleId="95">
    <w:name w:val="样式 公正文 + 首行缩进:  2 字符1 Char Char"/>
    <w:basedOn w:val="86"/>
    <w:link w:val="94"/>
    <w:qFormat/>
    <w:uiPriority w:val="0"/>
    <w:pPr>
      <w:ind w:firstLine="420"/>
    </w:pPr>
    <w:rPr>
      <w:rFonts w:ascii="楷体_GB2312" w:eastAsia="楷体_GB2312" w:cs="宋体"/>
      <w:color w:val="000000"/>
      <w:sz w:val="21"/>
      <w:szCs w:val="21"/>
    </w:rPr>
  </w:style>
  <w:style w:type="character" w:customStyle="1" w:styleId="96">
    <w:name w:val="正文缩进正 Char"/>
    <w:link w:val="97"/>
    <w:qFormat/>
    <w:uiPriority w:val="0"/>
    <w:rPr>
      <w:rFonts w:eastAsia="宋体"/>
      <w:kern w:val="2"/>
      <w:sz w:val="28"/>
      <w:szCs w:val="24"/>
      <w:lang w:val="en-US" w:eastAsia="zh-CN" w:bidi="ar-SA"/>
    </w:rPr>
  </w:style>
  <w:style w:type="paragraph" w:customStyle="1" w:styleId="97">
    <w:name w:val="正文缩进正"/>
    <w:basedOn w:val="1"/>
    <w:link w:val="96"/>
    <w:qFormat/>
    <w:uiPriority w:val="0"/>
    <w:pPr>
      <w:ind w:firstLine="480"/>
    </w:pPr>
    <w:rPr>
      <w:sz w:val="28"/>
    </w:rPr>
  </w:style>
  <w:style w:type="character" w:customStyle="1" w:styleId="98">
    <w:name w:val="普通文字 Char Char"/>
    <w:qFormat/>
    <w:uiPriority w:val="0"/>
    <w:rPr>
      <w:rFonts w:eastAsia="宋体" w:cs="Courier New"/>
      <w:kern w:val="2"/>
      <w:sz w:val="28"/>
      <w:szCs w:val="28"/>
      <w:lang w:val="en-US" w:eastAsia="zh-CN" w:bidi="ar-SA"/>
    </w:rPr>
  </w:style>
  <w:style w:type="character" w:customStyle="1" w:styleId="99">
    <w:name w:val="正文 + 宋体 Char"/>
    <w:qFormat/>
    <w:uiPriority w:val="0"/>
    <w:rPr>
      <w:rFonts w:ascii="宋体" w:eastAsia="宋体"/>
      <w:color w:val="000000"/>
      <w:kern w:val="2"/>
      <w:sz w:val="24"/>
      <w:lang w:val="en-US" w:eastAsia="zh-CN" w:bidi="ar-SA"/>
    </w:rPr>
  </w:style>
  <w:style w:type="character" w:customStyle="1" w:styleId="100">
    <w:name w:val="工程1 Char"/>
    <w:link w:val="101"/>
    <w:qFormat/>
    <w:uiPriority w:val="0"/>
    <w:rPr>
      <w:rFonts w:eastAsia="宋体"/>
      <w:kern w:val="2"/>
      <w:sz w:val="28"/>
      <w:szCs w:val="28"/>
      <w:lang w:val="en-US" w:eastAsia="zh-CN" w:bidi="ar-SA"/>
    </w:rPr>
  </w:style>
  <w:style w:type="paragraph" w:customStyle="1" w:styleId="101">
    <w:name w:val="工程1"/>
    <w:basedOn w:val="1"/>
    <w:link w:val="100"/>
    <w:qFormat/>
    <w:uiPriority w:val="0"/>
    <w:pPr>
      <w:spacing w:line="560" w:lineRule="exact"/>
      <w:ind w:firstLine="560"/>
    </w:pPr>
    <w:rPr>
      <w:sz w:val="28"/>
      <w:szCs w:val="28"/>
    </w:rPr>
  </w:style>
  <w:style w:type="character" w:customStyle="1" w:styleId="102">
    <w:name w:val="正文01 Char"/>
    <w:link w:val="103"/>
    <w:qFormat/>
    <w:uiPriority w:val="0"/>
    <w:rPr>
      <w:kern w:val="2"/>
      <w:sz w:val="24"/>
      <w:szCs w:val="24"/>
    </w:rPr>
  </w:style>
  <w:style w:type="paragraph" w:customStyle="1" w:styleId="103">
    <w:name w:val="正文01"/>
    <w:basedOn w:val="1"/>
    <w:link w:val="102"/>
    <w:qFormat/>
    <w:uiPriority w:val="0"/>
    <w:pPr>
      <w:jc w:val="left"/>
    </w:pPr>
  </w:style>
  <w:style w:type="character" w:customStyle="1" w:styleId="104">
    <w:name w:val="333 Char"/>
    <w:link w:val="105"/>
    <w:qFormat/>
    <w:uiPriority w:val="0"/>
    <w:rPr>
      <w:color w:val="FF0000"/>
      <w:kern w:val="2"/>
      <w:sz w:val="24"/>
      <w:szCs w:val="24"/>
    </w:rPr>
  </w:style>
  <w:style w:type="paragraph" w:customStyle="1" w:styleId="105">
    <w:name w:val="333"/>
    <w:basedOn w:val="1"/>
    <w:link w:val="104"/>
    <w:qFormat/>
    <w:uiPriority w:val="0"/>
    <w:pPr>
      <w:spacing w:line="560" w:lineRule="exact"/>
      <w:jc w:val="center"/>
    </w:pPr>
    <w:rPr>
      <w:color w:val="FF0000"/>
    </w:rPr>
  </w:style>
  <w:style w:type="character" w:customStyle="1" w:styleId="106">
    <w:name w:val="表格(小五) Char"/>
    <w:link w:val="107"/>
    <w:qFormat/>
    <w:uiPriority w:val="0"/>
    <w:rPr>
      <w:rFonts w:eastAsia="宋体"/>
      <w:sz w:val="18"/>
      <w:lang w:bidi="ar-SA"/>
    </w:rPr>
  </w:style>
  <w:style w:type="paragraph" w:customStyle="1" w:styleId="107">
    <w:name w:val="表格(小五)"/>
    <w:basedOn w:val="1"/>
    <w:next w:val="1"/>
    <w:link w:val="106"/>
    <w:qFormat/>
    <w:uiPriority w:val="0"/>
    <w:pPr>
      <w:jc w:val="center"/>
    </w:pPr>
    <w:rPr>
      <w:kern w:val="0"/>
      <w:sz w:val="18"/>
      <w:szCs w:val="20"/>
    </w:rPr>
  </w:style>
  <w:style w:type="character" w:customStyle="1" w:styleId="108">
    <w:name w:val="样式 公表序 + 首行缩进:  1 字符 Char Char"/>
    <w:link w:val="109"/>
    <w:qFormat/>
    <w:uiPriority w:val="0"/>
    <w:rPr>
      <w:rFonts w:ascii="黑体" w:hAnsi="宋体" w:eastAsia="黑体" w:cs="宋体"/>
      <w:kern w:val="2"/>
      <w:sz w:val="24"/>
      <w:szCs w:val="28"/>
      <w:lang w:val="en-US" w:eastAsia="zh-CN" w:bidi="ar-SA"/>
    </w:rPr>
  </w:style>
  <w:style w:type="paragraph" w:customStyle="1" w:styleId="109">
    <w:name w:val="样式 公表序 + 首行缩进:  1 字符 Char"/>
    <w:basedOn w:val="67"/>
    <w:link w:val="108"/>
    <w:qFormat/>
    <w:uiPriority w:val="0"/>
    <w:pPr>
      <w:spacing w:line="560" w:lineRule="exact"/>
      <w:ind w:firstLine="0" w:firstLineChars="0"/>
      <w:jc w:val="center"/>
    </w:pPr>
    <w:rPr>
      <w:rFonts w:hAnsi="宋体" w:cs="宋体"/>
      <w:kern w:val="0"/>
    </w:rPr>
  </w:style>
  <w:style w:type="character" w:customStyle="1" w:styleId="110">
    <w:name w:val="正文（首行缩进两字）1 Char1"/>
    <w:qFormat/>
    <w:uiPriority w:val="0"/>
    <w:rPr>
      <w:rFonts w:ascii="仿宋_GB2312" w:hAnsi="宋体" w:eastAsia="仿宋_GB2312"/>
      <w:kern w:val="2"/>
      <w:sz w:val="28"/>
      <w:szCs w:val="28"/>
      <w:lang w:val="en-US" w:eastAsia="zh-CN" w:bidi="ar-SA"/>
    </w:rPr>
  </w:style>
  <w:style w:type="character" w:customStyle="1" w:styleId="111">
    <w:name w:val="正文缩进正 Char Char"/>
    <w:qFormat/>
    <w:uiPriority w:val="0"/>
    <w:rPr>
      <w:rFonts w:ascii="宋体" w:hAnsi="宋体" w:eastAsia="宋体" w:cs="宋体"/>
      <w:kern w:val="2"/>
      <w:sz w:val="24"/>
      <w:szCs w:val="24"/>
      <w:lang w:val="en-US" w:eastAsia="zh-CN" w:bidi="ar-SA"/>
    </w:rPr>
  </w:style>
  <w:style w:type="character" w:customStyle="1" w:styleId="112">
    <w:name w:val="首行缩进 Char"/>
    <w:qFormat/>
    <w:uiPriority w:val="0"/>
    <w:rPr>
      <w:rFonts w:eastAsia="宋体"/>
      <w:kern w:val="2"/>
      <w:sz w:val="24"/>
      <w:szCs w:val="24"/>
      <w:lang w:val="en-US" w:eastAsia="zh-CN" w:bidi="ar-SA"/>
    </w:rPr>
  </w:style>
  <w:style w:type="character" w:customStyle="1" w:styleId="113">
    <w:name w:val="表头 Char Char"/>
    <w:qFormat/>
    <w:uiPriority w:val="0"/>
    <w:rPr>
      <w:rFonts w:eastAsia="宋体"/>
      <w:snapToGrid w:val="0"/>
      <w:kern w:val="2"/>
      <w:sz w:val="28"/>
      <w:szCs w:val="28"/>
      <w:lang w:val="en-US" w:eastAsia="zh-CN" w:bidi="ar-SA"/>
    </w:rPr>
  </w:style>
  <w:style w:type="character" w:customStyle="1" w:styleId="114">
    <w:name w:val="textcontents"/>
    <w:basedOn w:val="55"/>
    <w:qFormat/>
    <w:uiPriority w:val="0"/>
  </w:style>
  <w:style w:type="character" w:customStyle="1" w:styleId="115">
    <w:name w:val="正文缩进 Char Char1 Char Char"/>
    <w:qFormat/>
    <w:uiPriority w:val="0"/>
    <w:rPr>
      <w:rFonts w:eastAsia="宋体"/>
      <w:kern w:val="2"/>
      <w:sz w:val="21"/>
      <w:szCs w:val="24"/>
      <w:lang w:val="en-US" w:eastAsia="zh-CN" w:bidi="ar-SA"/>
    </w:rPr>
  </w:style>
  <w:style w:type="character" w:customStyle="1" w:styleId="116">
    <w:name w:val="样式 样式7 + 首行缩进:  2 字符 Char Char"/>
    <w:link w:val="117"/>
    <w:qFormat/>
    <w:uiPriority w:val="0"/>
    <w:rPr>
      <w:rFonts w:ascii="仿宋_GB2312" w:hAnsi="宋体" w:eastAsia="仿宋_GB2312" w:cs="宋体"/>
      <w:sz w:val="28"/>
      <w:szCs w:val="28"/>
      <w:lang w:val="en-US" w:eastAsia="zh-CN" w:bidi="ar-SA"/>
    </w:rPr>
  </w:style>
  <w:style w:type="paragraph" w:customStyle="1" w:styleId="117">
    <w:name w:val="样式 样式7 + 首行缩进:  2 字符 Char"/>
    <w:basedOn w:val="1"/>
    <w:link w:val="116"/>
    <w:qFormat/>
    <w:uiPriority w:val="0"/>
    <w:pPr>
      <w:autoSpaceDE w:val="0"/>
      <w:autoSpaceDN w:val="0"/>
      <w:adjustRightInd w:val="0"/>
      <w:snapToGrid w:val="0"/>
      <w:spacing w:line="560" w:lineRule="exact"/>
      <w:ind w:firstLine="560"/>
    </w:pPr>
    <w:rPr>
      <w:rFonts w:ascii="仿宋_GB2312" w:hAnsi="宋体" w:eastAsia="仿宋_GB2312" w:cs="宋体"/>
      <w:kern w:val="0"/>
      <w:sz w:val="28"/>
      <w:szCs w:val="28"/>
    </w:rPr>
  </w:style>
  <w:style w:type="character" w:customStyle="1" w:styleId="118">
    <w:name w:val="表头 Char"/>
    <w:link w:val="119"/>
    <w:qFormat/>
    <w:uiPriority w:val="0"/>
    <w:rPr>
      <w:rFonts w:eastAsia="宋体"/>
      <w:kern w:val="2"/>
      <w:sz w:val="28"/>
      <w:szCs w:val="28"/>
      <w:lang w:val="en-US" w:eastAsia="zh-CN" w:bidi="ar-SA"/>
    </w:rPr>
  </w:style>
  <w:style w:type="paragraph" w:customStyle="1" w:styleId="119">
    <w:name w:val="表头"/>
    <w:basedOn w:val="1"/>
    <w:link w:val="118"/>
    <w:qFormat/>
    <w:uiPriority w:val="0"/>
    <w:pPr>
      <w:widowControl/>
      <w:tabs>
        <w:tab w:val="left" w:pos="5580"/>
      </w:tabs>
      <w:autoSpaceDE w:val="0"/>
      <w:autoSpaceDN w:val="0"/>
      <w:adjustRightInd w:val="0"/>
      <w:jc w:val="left"/>
      <w:textAlignment w:val="bottom"/>
    </w:pPr>
    <w:rPr>
      <w:sz w:val="28"/>
      <w:szCs w:val="28"/>
    </w:rPr>
  </w:style>
  <w:style w:type="character" w:customStyle="1" w:styleId="120">
    <w:name w:val="标题 2 Char Char Char2"/>
    <w:qFormat/>
    <w:uiPriority w:val="0"/>
    <w:rPr>
      <w:rFonts w:ascii="黑体" w:hAnsi="Arial" w:eastAsia="黑体"/>
      <w:sz w:val="32"/>
      <w:szCs w:val="32"/>
      <w:lang w:val="en-US" w:eastAsia="zh-CN" w:bidi="ar-SA"/>
    </w:rPr>
  </w:style>
  <w:style w:type="character" w:customStyle="1" w:styleId="121">
    <w:name w:val="正文缩进正 Char Char Char"/>
    <w:qFormat/>
    <w:uiPriority w:val="0"/>
    <w:rPr>
      <w:rFonts w:eastAsia="宋体"/>
      <w:kern w:val="2"/>
      <w:sz w:val="24"/>
      <w:szCs w:val="24"/>
      <w:lang w:val="en-US" w:eastAsia="zh-CN" w:bidi="ar-SA"/>
    </w:rPr>
  </w:style>
  <w:style w:type="character" w:customStyle="1" w:styleId="122">
    <w:name w:val="页眉 Char1"/>
    <w:link w:val="31"/>
    <w:qFormat/>
    <w:uiPriority w:val="99"/>
    <w:rPr>
      <w:kern w:val="2"/>
      <w:sz w:val="18"/>
      <w:szCs w:val="18"/>
    </w:rPr>
  </w:style>
  <w:style w:type="paragraph" w:customStyle="1" w:styleId="123">
    <w:name w:val="表注"/>
    <w:basedOn w:val="124"/>
    <w:qFormat/>
    <w:uiPriority w:val="0"/>
    <w:pPr>
      <w:spacing w:beforeLines="20"/>
      <w:ind w:firstLine="150" w:firstLineChars="150"/>
    </w:pPr>
    <w:rPr>
      <w:rFonts w:ascii="宋体" w:eastAsia="楷体_GB2312"/>
      <w:sz w:val="21"/>
    </w:rPr>
  </w:style>
  <w:style w:type="paragraph" w:customStyle="1" w:styleId="124">
    <w:name w:val="表序"/>
    <w:basedOn w:val="1"/>
    <w:qFormat/>
    <w:uiPriority w:val="0"/>
    <w:pPr>
      <w:adjustRightInd w:val="0"/>
      <w:snapToGrid w:val="0"/>
      <w:spacing w:line="300" w:lineRule="auto"/>
      <w:ind w:firstLine="100" w:firstLineChars="100"/>
    </w:pPr>
    <w:rPr>
      <w:rFonts w:ascii="黑体" w:hAnsi="宋体" w:eastAsia="黑体"/>
    </w:rPr>
  </w:style>
  <w:style w:type="paragraph" w:customStyle="1" w:styleId="125">
    <w:name w:val="四 Char Char Char Char Char"/>
    <w:basedOn w:val="1"/>
    <w:qFormat/>
    <w:uiPriority w:val="0"/>
    <w:pPr>
      <w:autoSpaceDE w:val="0"/>
      <w:autoSpaceDN w:val="0"/>
      <w:adjustRightInd w:val="0"/>
      <w:textAlignment w:val="baseline"/>
    </w:pPr>
    <w:rPr>
      <w:rFonts w:ascii="仿宋_GB2312"/>
      <w:sz w:val="28"/>
      <w:szCs w:val="28"/>
    </w:rPr>
  </w:style>
  <w:style w:type="paragraph" w:customStyle="1" w:styleId="126">
    <w:name w:val="样式 标题 3 + 行距: 1.5 倍行距"/>
    <w:basedOn w:val="4"/>
    <w:qFormat/>
    <w:uiPriority w:val="0"/>
    <w:pPr>
      <w:tabs>
        <w:tab w:val="left" w:pos="900"/>
      </w:tabs>
      <w:spacing w:beforeLines="50" w:after="120" w:line="360" w:lineRule="auto"/>
      <w:ind w:left="1418"/>
      <w:textAlignment w:val="baseline"/>
    </w:pPr>
    <w:rPr>
      <w:rFonts w:eastAsia="黑体" w:cs="宋体"/>
      <w:b w:val="0"/>
      <w:sz w:val="28"/>
      <w:szCs w:val="28"/>
    </w:rPr>
  </w:style>
  <w:style w:type="paragraph" w:customStyle="1" w:styleId="127">
    <w:name w:val="Char"/>
    <w:basedOn w:val="1"/>
    <w:qFormat/>
    <w:uiPriority w:val="0"/>
    <w:rPr>
      <w:szCs w:val="20"/>
    </w:rPr>
  </w:style>
  <w:style w:type="paragraph" w:customStyle="1" w:styleId="128">
    <w:name w:val="一级标题"/>
    <w:basedOn w:val="25"/>
    <w:qFormat/>
    <w:uiPriority w:val="0"/>
    <w:pPr>
      <w:tabs>
        <w:tab w:val="left" w:pos="360"/>
      </w:tabs>
      <w:adjustRightInd w:val="0"/>
      <w:spacing w:line="312" w:lineRule="atLeast"/>
      <w:ind w:left="360" w:hanging="360"/>
      <w:textAlignment w:val="baseline"/>
    </w:pPr>
    <w:rPr>
      <w:kern w:val="0"/>
      <w:sz w:val="30"/>
    </w:rPr>
  </w:style>
  <w:style w:type="paragraph" w:customStyle="1" w:styleId="129">
    <w:name w:val="Char1 Char Char Char Char Char1 Char Char Char Char Char Char Char Char Char Char Char Char1 Char1"/>
    <w:basedOn w:val="1"/>
    <w:qFormat/>
    <w:uiPriority w:val="0"/>
    <w:rPr>
      <w:rFonts w:ascii="宋体"/>
      <w:sz w:val="28"/>
    </w:rPr>
  </w:style>
  <w:style w:type="paragraph" w:customStyle="1" w:styleId="130">
    <w:name w:val="CM38"/>
    <w:basedOn w:val="131"/>
    <w:next w:val="131"/>
    <w:qFormat/>
    <w:uiPriority w:val="0"/>
    <w:rPr>
      <w:rFonts w:ascii="黑体" w:eastAsia="黑体" w:cs="黑体"/>
      <w:color w:val="auto"/>
    </w:rPr>
  </w:style>
  <w:style w:type="paragraph" w:customStyle="1" w:styleId="131">
    <w:name w:val="Default"/>
    <w:qFormat/>
    <w:uiPriority w:val="0"/>
    <w:pPr>
      <w:widowControl w:val="0"/>
      <w:autoSpaceDE w:val="0"/>
      <w:autoSpaceDN w:val="0"/>
      <w:adjustRightInd w:val="0"/>
    </w:pPr>
    <w:rPr>
      <w:rFonts w:ascii=".." w:hAnsi="Times New Roman" w:eastAsia=".." w:cs="Times New Roman"/>
      <w:color w:val="000000"/>
      <w:sz w:val="24"/>
      <w:szCs w:val="24"/>
      <w:lang w:val="en-US" w:eastAsia="zh-CN" w:bidi="ar-SA"/>
    </w:rPr>
  </w:style>
  <w:style w:type="paragraph" w:customStyle="1" w:styleId="132">
    <w:name w:val="报告"/>
    <w:basedOn w:val="1"/>
    <w:qFormat/>
    <w:uiPriority w:val="0"/>
    <w:pPr>
      <w:overflowPunct w:val="0"/>
      <w:autoSpaceDE w:val="0"/>
      <w:autoSpaceDN w:val="0"/>
      <w:adjustRightInd w:val="0"/>
      <w:spacing w:before="30" w:beforeLines="30" w:after="30" w:afterLines="30" w:line="400" w:lineRule="atLeast"/>
      <w:textAlignment w:val="baseline"/>
    </w:pPr>
    <w:rPr>
      <w:kern w:val="0"/>
      <w:szCs w:val="20"/>
    </w:rPr>
  </w:style>
  <w:style w:type="paragraph" w:customStyle="1" w:styleId="133">
    <w:name w:val="Char Char3"/>
    <w:basedOn w:val="1"/>
    <w:qFormat/>
    <w:uiPriority w:val="0"/>
    <w:rPr>
      <w:sz w:val="28"/>
    </w:rPr>
  </w:style>
  <w:style w:type="paragraph" w:customStyle="1" w:styleId="134">
    <w:name w:val="CM26"/>
    <w:basedOn w:val="1"/>
    <w:next w:val="1"/>
    <w:qFormat/>
    <w:uiPriority w:val="0"/>
    <w:pPr>
      <w:autoSpaceDE w:val="0"/>
      <w:autoSpaceDN w:val="0"/>
      <w:adjustRightInd w:val="0"/>
      <w:spacing w:after="505"/>
      <w:jc w:val="left"/>
    </w:pPr>
    <w:rPr>
      <w:rFonts w:ascii="黑体" w:eastAsia="黑体" w:cs="黑体"/>
      <w:kern w:val="0"/>
    </w:rPr>
  </w:style>
  <w:style w:type="paragraph" w:customStyle="1" w:styleId="135">
    <w:name w:val="Char Char Char Char Char Char Char"/>
    <w:basedOn w:val="1"/>
    <w:qFormat/>
    <w:uiPriority w:val="0"/>
    <w:pPr>
      <w:adjustRightInd w:val="0"/>
    </w:pPr>
    <w:rPr>
      <w:rFonts w:ascii="宋体"/>
      <w:sz w:val="28"/>
    </w:rPr>
  </w:style>
  <w:style w:type="paragraph" w:customStyle="1" w:styleId="136">
    <w:name w:val="表名"/>
    <w:basedOn w:val="1"/>
    <w:qFormat/>
    <w:uiPriority w:val="0"/>
    <w:pPr>
      <w:autoSpaceDE w:val="0"/>
      <w:autoSpaceDN w:val="0"/>
      <w:spacing w:after="60" w:line="560" w:lineRule="exact"/>
      <w:ind w:firstLine="100" w:firstLineChars="100"/>
    </w:pPr>
    <w:rPr>
      <w:rFonts w:ascii="黑体" w:hAnsi="宋体" w:eastAsia="黑体"/>
      <w:szCs w:val="28"/>
    </w:rPr>
  </w:style>
  <w:style w:type="paragraph" w:customStyle="1" w:styleId="137">
    <w:name w:val="样式 表名 + 首行缩进:  1 字符"/>
    <w:basedOn w:val="136"/>
    <w:qFormat/>
    <w:uiPriority w:val="0"/>
    <w:pPr>
      <w:spacing w:before="80" w:after="80" w:line="240" w:lineRule="auto"/>
      <w:jc w:val="left"/>
    </w:pPr>
    <w:rPr>
      <w:szCs w:val="24"/>
    </w:rPr>
  </w:style>
  <w:style w:type="paragraph" w:customStyle="1" w:styleId="138">
    <w:name w:val="xl35"/>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kern w:val="0"/>
    </w:rPr>
  </w:style>
  <w:style w:type="paragraph" w:customStyle="1" w:styleId="139">
    <w:name w:val="公表文长"/>
    <w:basedOn w:val="36"/>
    <w:qFormat/>
    <w:uiPriority w:val="0"/>
    <w:pPr>
      <w:autoSpaceDE w:val="0"/>
      <w:autoSpaceDN w:val="0"/>
      <w:adjustRightInd w:val="0"/>
      <w:snapToGrid w:val="0"/>
      <w:spacing w:beforeLines="10" w:afterLines="10"/>
      <w:ind w:left="0" w:leftChars="0" w:firstLine="100" w:firstLineChars="100"/>
    </w:pPr>
    <w:rPr>
      <w:rFonts w:ascii="宋体" w:hAnsi="宋体" w:eastAsia="楷体_GB2312"/>
      <w:sz w:val="21"/>
    </w:rPr>
  </w:style>
  <w:style w:type="paragraph" w:customStyle="1" w:styleId="140">
    <w:name w:val="xl25"/>
    <w:basedOn w:val="1"/>
    <w:qFormat/>
    <w:uiPriority w:val="0"/>
    <w:pPr>
      <w:widowControl/>
      <w:pBdr>
        <w:bottom w:val="single" w:color="auto" w:sz="4" w:space="0"/>
        <w:right w:val="single" w:color="auto" w:sz="4" w:space="0"/>
      </w:pBdr>
      <w:spacing w:before="100" w:beforeAutospacing="1" w:after="100" w:afterAutospacing="1" w:line="560" w:lineRule="exact"/>
      <w:jc w:val="center"/>
    </w:pPr>
    <w:rPr>
      <w:rFonts w:ascii="仿宋_GB2312" w:eastAsia="Arial Unicode MS"/>
      <w:kern w:val="0"/>
      <w:sz w:val="22"/>
      <w:szCs w:val="22"/>
    </w:rPr>
  </w:style>
  <w:style w:type="paragraph" w:customStyle="1" w:styleId="141">
    <w:name w:val="标题3"/>
    <w:basedOn w:val="4"/>
    <w:qFormat/>
    <w:uiPriority w:val="0"/>
    <w:pPr>
      <w:keepNext w:val="0"/>
      <w:keepLines w:val="0"/>
      <w:tabs>
        <w:tab w:val="left" w:pos="900"/>
      </w:tabs>
      <w:spacing w:beforeLines="50" w:after="0" w:line="560" w:lineRule="exact"/>
      <w:ind w:left="1418"/>
      <w:jc w:val="left"/>
      <w:textAlignment w:val="baseline"/>
    </w:pPr>
    <w:rPr>
      <w:rFonts w:ascii="Arial" w:hAnsi="Arial" w:eastAsia="方正小标宋_GBK"/>
      <w:bCs w:val="0"/>
      <w:sz w:val="28"/>
      <w:szCs w:val="28"/>
    </w:rPr>
  </w:style>
  <w:style w:type="paragraph" w:customStyle="1" w:styleId="142">
    <w:name w:val="标题四"/>
    <w:basedOn w:val="1"/>
    <w:qFormat/>
    <w:uiPriority w:val="0"/>
    <w:pPr>
      <w:widowControl/>
      <w:jc w:val="left"/>
    </w:pPr>
    <w:rPr>
      <w:rFonts w:ascii="Tahoma" w:hAnsi="Tahoma" w:cs="宋体"/>
      <w:kern w:val="0"/>
      <w:szCs w:val="21"/>
    </w:rPr>
  </w:style>
  <w:style w:type="paragraph" w:customStyle="1" w:styleId="143">
    <w:name w:val="CM24"/>
    <w:basedOn w:val="131"/>
    <w:next w:val="131"/>
    <w:qFormat/>
    <w:uiPriority w:val="0"/>
    <w:pPr>
      <w:spacing w:after="218"/>
    </w:pPr>
    <w:rPr>
      <w:rFonts w:ascii="黑体" w:eastAsia="黑体" w:cs="黑体"/>
      <w:color w:val="auto"/>
    </w:rPr>
  </w:style>
  <w:style w:type="paragraph" w:customStyle="1" w:styleId="144">
    <w:name w:val="样式 仿宋_GB2312 四号"/>
    <w:basedOn w:val="1"/>
    <w:qFormat/>
    <w:uiPriority w:val="0"/>
    <w:pPr>
      <w:autoSpaceDE w:val="0"/>
      <w:autoSpaceDN w:val="0"/>
      <w:spacing w:line="560" w:lineRule="exact"/>
    </w:pPr>
    <w:rPr>
      <w:rFonts w:ascii="仿宋_GB2312" w:hAnsi="宋体" w:eastAsia="仿宋_GB2312" w:cs="宋体"/>
      <w:sz w:val="28"/>
      <w:szCs w:val="28"/>
    </w:rPr>
  </w:style>
  <w:style w:type="paragraph" w:customStyle="1" w:styleId="145">
    <w:name w:val="样式 标题 1章标题 1-*+h11st levelSection Headl1b1H1Header1 + T..."/>
    <w:basedOn w:val="2"/>
    <w:qFormat/>
    <w:uiPriority w:val="0"/>
    <w:pPr>
      <w:tabs>
        <w:tab w:val="left" w:pos="425"/>
      </w:tabs>
      <w:spacing w:before="100" w:beforeAutospacing="1" w:after="100" w:afterAutospacing="1" w:line="240" w:lineRule="auto"/>
      <w:ind w:left="425"/>
      <w:jc w:val="left"/>
    </w:pPr>
    <w:rPr>
      <w:rFonts w:ascii="Arial" w:hAnsi="Arial"/>
      <w:b/>
      <w:bCs w:val="0"/>
      <w:color w:val="000000"/>
      <w:kern w:val="2"/>
      <w:sz w:val="36"/>
      <w:szCs w:val="36"/>
    </w:rPr>
  </w:style>
  <w:style w:type="paragraph" w:customStyle="1" w:styleId="146">
    <w:name w:val="Char1 Char Char Char Char Char1 Char Char Char Char Char Char Char Char Char Char Char Char1 Char"/>
    <w:basedOn w:val="1"/>
    <w:qFormat/>
    <w:uiPriority w:val="0"/>
    <w:rPr>
      <w:rFonts w:ascii="宋体" w:eastAsia="仿宋_GB2312"/>
      <w:sz w:val="28"/>
    </w:rPr>
  </w:style>
  <w:style w:type="paragraph" w:customStyle="1" w:styleId="147">
    <w:name w:val="CM25"/>
    <w:basedOn w:val="131"/>
    <w:next w:val="131"/>
    <w:qFormat/>
    <w:uiPriority w:val="0"/>
    <w:pPr>
      <w:spacing w:after="113"/>
    </w:pPr>
    <w:rPr>
      <w:rFonts w:ascii="黑体" w:eastAsia="黑体" w:cs="黑体"/>
      <w:color w:val="auto"/>
    </w:rPr>
  </w:style>
  <w:style w:type="paragraph" w:customStyle="1" w:styleId="148">
    <w:name w:val="表 格"/>
    <w:basedOn w:val="1"/>
    <w:qFormat/>
    <w:uiPriority w:val="0"/>
    <w:pPr>
      <w:spacing w:line="560" w:lineRule="exact"/>
      <w:jc w:val="center"/>
    </w:pPr>
    <w:rPr>
      <w:rFonts w:ascii="楷体_GB2312" w:eastAsia="楷体_GB2312"/>
      <w:sz w:val="28"/>
    </w:rPr>
  </w:style>
  <w:style w:type="paragraph" w:customStyle="1" w:styleId="149">
    <w:name w:val="CM19"/>
    <w:basedOn w:val="131"/>
    <w:next w:val="131"/>
    <w:qFormat/>
    <w:uiPriority w:val="0"/>
    <w:pPr>
      <w:spacing w:line="500" w:lineRule="atLeast"/>
    </w:pPr>
    <w:rPr>
      <w:rFonts w:ascii="黑体" w:eastAsia="黑体" w:cs="黑体"/>
      <w:color w:val="auto"/>
    </w:rPr>
  </w:style>
  <w:style w:type="paragraph" w:customStyle="1" w:styleId="150">
    <w:name w:val="Char Char Char Char Char Char Char Char Char Char Char Char Char Char Char Char"/>
    <w:basedOn w:val="1"/>
    <w:qFormat/>
    <w:uiPriority w:val="0"/>
    <w:pPr>
      <w:widowControl/>
      <w:jc w:val="left"/>
    </w:pPr>
    <w:rPr>
      <w:rFonts w:ascii="Tahoma" w:hAnsi="Tahoma" w:cs="宋体"/>
      <w:kern w:val="0"/>
      <w:szCs w:val="20"/>
    </w:rPr>
  </w:style>
  <w:style w:type="paragraph" w:customStyle="1" w:styleId="151">
    <w:name w:val="标题样式3（1级编号）"/>
    <w:basedOn w:val="1"/>
    <w:qFormat/>
    <w:uiPriority w:val="0"/>
    <w:pPr>
      <w:tabs>
        <w:tab w:val="left" w:pos="840"/>
      </w:tabs>
      <w:snapToGrid w:val="0"/>
      <w:ind w:left="840" w:hanging="420"/>
      <w:outlineLvl w:val="2"/>
    </w:pPr>
    <w:rPr>
      <w:rFonts w:ascii="仿宋_GB2312" w:eastAsia="仿宋_GB2312"/>
      <w:b/>
      <w:bCs/>
      <w:szCs w:val="20"/>
    </w:rPr>
  </w:style>
  <w:style w:type="paragraph" w:customStyle="1" w:styleId="152">
    <w:name w:val="样式 公标题1 + 段前: 0.7 行 段后: 0.7 行1"/>
    <w:basedOn w:val="85"/>
    <w:qFormat/>
    <w:uiPriority w:val="0"/>
    <w:pPr>
      <w:autoSpaceDE/>
      <w:autoSpaceDN/>
      <w:spacing w:before="218" w:after="218"/>
    </w:pPr>
    <w:rPr>
      <w:rFonts w:ascii="黑体" w:hAnsi="华文仿宋" w:cs="宋体"/>
      <w:szCs w:val="36"/>
    </w:rPr>
  </w:style>
  <w:style w:type="paragraph" w:customStyle="1" w:styleId="153">
    <w:name w:val="样式 公表头 + 两端对齐"/>
    <w:basedOn w:val="1"/>
    <w:qFormat/>
    <w:uiPriority w:val="0"/>
    <w:pPr>
      <w:autoSpaceDE w:val="0"/>
      <w:autoSpaceDN w:val="0"/>
      <w:adjustRightInd w:val="0"/>
      <w:snapToGrid w:val="0"/>
      <w:spacing w:line="300" w:lineRule="auto"/>
    </w:pPr>
    <w:rPr>
      <w:rFonts w:ascii="黑体" w:hAnsi="Swis721 Lt BT" w:eastAsia="黑体" w:cs="宋体"/>
      <w:sz w:val="28"/>
      <w:szCs w:val="20"/>
    </w:rPr>
  </w:style>
  <w:style w:type="paragraph" w:customStyle="1" w:styleId="154">
    <w:name w:val="CM14"/>
    <w:basedOn w:val="131"/>
    <w:next w:val="131"/>
    <w:qFormat/>
    <w:uiPriority w:val="0"/>
    <w:pPr>
      <w:spacing w:line="520" w:lineRule="atLeast"/>
    </w:pPr>
    <w:rPr>
      <w:rFonts w:ascii="黑体" w:eastAsia="黑体" w:cs="黑体"/>
      <w:color w:val="auto"/>
    </w:rPr>
  </w:style>
  <w:style w:type="paragraph" w:customStyle="1" w:styleId="155">
    <w:name w:val="CM5"/>
    <w:basedOn w:val="131"/>
    <w:next w:val="131"/>
    <w:qFormat/>
    <w:uiPriority w:val="0"/>
    <w:pPr>
      <w:spacing w:line="508" w:lineRule="atLeast"/>
    </w:pPr>
    <w:rPr>
      <w:rFonts w:ascii="黑体" w:eastAsia="黑体"/>
      <w:color w:val="auto"/>
    </w:rPr>
  </w:style>
  <w:style w:type="paragraph" w:customStyle="1" w:styleId="156">
    <w:name w:val="正文1"/>
    <w:basedOn w:val="1"/>
    <w:qFormat/>
    <w:uiPriority w:val="0"/>
    <w:rPr>
      <w:rFonts w:ascii="Tahoma" w:hAnsi="Tahoma"/>
      <w:kern w:val="0"/>
      <w:sz w:val="28"/>
      <w:szCs w:val="20"/>
    </w:rPr>
  </w:style>
  <w:style w:type="paragraph" w:customStyle="1" w:styleId="157">
    <w:name w:val="样式 表格 + 黑色"/>
    <w:basedOn w:val="1"/>
    <w:qFormat/>
    <w:uiPriority w:val="0"/>
    <w:pPr>
      <w:autoSpaceDE w:val="0"/>
      <w:autoSpaceDN w:val="0"/>
      <w:spacing w:line="360" w:lineRule="exact"/>
      <w:jc w:val="center"/>
    </w:pPr>
    <w:rPr>
      <w:rFonts w:ascii="楷体_GB2312" w:hAnsi="宋体" w:eastAsia="楷体_GB2312"/>
      <w:color w:val="000000"/>
      <w:kern w:val="0"/>
      <w:szCs w:val="21"/>
    </w:rPr>
  </w:style>
  <w:style w:type="paragraph" w:customStyle="1" w:styleId="158">
    <w:name w:val="样式 001 + 首行缩进:  2 字符"/>
    <w:basedOn w:val="1"/>
    <w:qFormat/>
    <w:uiPriority w:val="0"/>
    <w:pPr>
      <w:ind w:firstLine="480"/>
    </w:pPr>
    <w:rPr>
      <w:rFonts w:cs="宋体"/>
      <w:snapToGrid w:val="0"/>
      <w:kern w:val="0"/>
      <w:szCs w:val="20"/>
    </w:rPr>
  </w:style>
  <w:style w:type="paragraph" w:customStyle="1" w:styleId="159">
    <w:name w:val="标题2"/>
    <w:basedOn w:val="1"/>
    <w:qFormat/>
    <w:uiPriority w:val="0"/>
    <w:pPr>
      <w:keepNext/>
      <w:keepLines/>
      <w:tabs>
        <w:tab w:val="left" w:pos="1407"/>
      </w:tabs>
      <w:adjustRightInd w:val="0"/>
      <w:spacing w:beforeLines="50" w:afterLines="50"/>
      <w:ind w:left="1407" w:hanging="420"/>
      <w:jc w:val="center"/>
      <w:textAlignment w:val="baseline"/>
      <w:outlineLvl w:val="1"/>
    </w:pPr>
    <w:rPr>
      <w:rFonts w:ascii="仿宋_GB2312" w:hAnsi="宋体" w:eastAsia="仿宋_GB2312" w:cs="Arial"/>
      <w:b/>
      <w:bCs/>
      <w:kern w:val="0"/>
      <w:sz w:val="32"/>
      <w:szCs w:val="32"/>
    </w:rPr>
  </w:style>
  <w:style w:type="paragraph" w:customStyle="1" w:styleId="160">
    <w:name w:val="样式 首行缩进:  2 字符1"/>
    <w:basedOn w:val="1"/>
    <w:qFormat/>
    <w:uiPriority w:val="0"/>
    <w:pPr>
      <w:autoSpaceDE w:val="0"/>
      <w:autoSpaceDN w:val="0"/>
      <w:spacing w:line="560" w:lineRule="exact"/>
      <w:ind w:firstLine="560"/>
    </w:pPr>
    <w:rPr>
      <w:rFonts w:ascii="仿宋_GB2312" w:eastAsia="仿宋_GB2312" w:cs="宋体"/>
      <w:sz w:val="28"/>
      <w:szCs w:val="20"/>
    </w:rPr>
  </w:style>
  <w:style w:type="paragraph" w:customStyle="1" w:styleId="161">
    <w:name w:val="CM9"/>
    <w:basedOn w:val="131"/>
    <w:next w:val="131"/>
    <w:qFormat/>
    <w:uiPriority w:val="0"/>
    <w:rPr>
      <w:rFonts w:ascii="黑体" w:eastAsia="黑体" w:cs="黑体"/>
      <w:color w:val="auto"/>
    </w:rPr>
  </w:style>
  <w:style w:type="paragraph" w:customStyle="1" w:styleId="162">
    <w:name w:val="样式 公标题2 + 段前: 0.5 行 段后: 0.5 行"/>
    <w:basedOn w:val="1"/>
    <w:qFormat/>
    <w:uiPriority w:val="0"/>
    <w:pPr>
      <w:autoSpaceDE w:val="0"/>
      <w:autoSpaceDN w:val="0"/>
      <w:adjustRightInd w:val="0"/>
      <w:snapToGrid w:val="0"/>
      <w:spacing w:beforeLines="50" w:afterLines="50" w:line="355" w:lineRule="auto"/>
      <w:outlineLvl w:val="1"/>
    </w:pPr>
    <w:rPr>
      <w:rFonts w:ascii="Swis721 BT" w:hAnsi="Swis721 BT" w:eastAsia="黑体" w:cs="宋体"/>
      <w:sz w:val="32"/>
      <w:szCs w:val="20"/>
    </w:rPr>
  </w:style>
  <w:style w:type="paragraph" w:customStyle="1" w:styleId="163">
    <w:name w:val="公图名"/>
    <w:basedOn w:val="1"/>
    <w:qFormat/>
    <w:uiPriority w:val="0"/>
    <w:pPr>
      <w:autoSpaceDE w:val="0"/>
      <w:autoSpaceDN w:val="0"/>
      <w:adjustRightInd w:val="0"/>
      <w:snapToGrid w:val="0"/>
      <w:spacing w:beforeLines="50"/>
      <w:jc w:val="center"/>
    </w:pPr>
    <w:rPr>
      <w:rFonts w:ascii="黑体" w:hAnsi="宋体" w:eastAsia="黑体"/>
      <w:szCs w:val="16"/>
    </w:rPr>
  </w:style>
  <w:style w:type="paragraph" w:customStyle="1" w:styleId="164">
    <w:name w:val="样式 公标题4 + 首行缩进:  0 字符"/>
    <w:basedOn w:val="68"/>
    <w:qFormat/>
    <w:uiPriority w:val="0"/>
    <w:pPr>
      <w:ind w:firstLine="0" w:firstLineChars="0"/>
    </w:pPr>
    <w:rPr>
      <w:rFonts w:cs="宋体"/>
      <w:szCs w:val="20"/>
    </w:rPr>
  </w:style>
  <w:style w:type="paragraph" w:customStyle="1" w:styleId="165">
    <w:name w:val="小五"/>
    <w:basedOn w:val="1"/>
    <w:qFormat/>
    <w:uiPriority w:val="0"/>
    <w:pPr>
      <w:widowControl/>
      <w:jc w:val="center"/>
    </w:pPr>
    <w:rPr>
      <w:bCs/>
      <w:kern w:val="0"/>
      <w:szCs w:val="21"/>
    </w:rPr>
  </w:style>
  <w:style w:type="paragraph" w:customStyle="1" w:styleId="166">
    <w:name w:val="样式 公标题1 + 段前: 0.7 行 段后: 0.7 行"/>
    <w:basedOn w:val="1"/>
    <w:qFormat/>
    <w:uiPriority w:val="0"/>
    <w:pPr>
      <w:autoSpaceDE w:val="0"/>
      <w:autoSpaceDN w:val="0"/>
      <w:adjustRightInd w:val="0"/>
      <w:snapToGrid w:val="0"/>
      <w:spacing w:beforeLines="70" w:afterLines="70" w:line="355" w:lineRule="auto"/>
      <w:outlineLvl w:val="0"/>
    </w:pPr>
    <w:rPr>
      <w:rFonts w:ascii="Swis721 BT" w:hAnsi="Swis721 BT" w:eastAsia="黑体" w:cs="宋体"/>
      <w:sz w:val="36"/>
      <w:szCs w:val="20"/>
    </w:rPr>
  </w:style>
  <w:style w:type="paragraph" w:customStyle="1" w:styleId="167">
    <w:name w:val="B"/>
    <w:basedOn w:val="168"/>
    <w:qFormat/>
    <w:uiPriority w:val="0"/>
    <w:pPr>
      <w:spacing w:beforeLines="0" w:afterLines="0"/>
    </w:pPr>
    <w:rPr>
      <w:rFonts w:ascii="楷体_GB2312"/>
      <w:szCs w:val="21"/>
    </w:rPr>
  </w:style>
  <w:style w:type="paragraph" w:customStyle="1" w:styleId="168">
    <w:name w:val="样式 样式10 + 段前: 0.2 行 段后: 0.2 行"/>
    <w:basedOn w:val="169"/>
    <w:qFormat/>
    <w:uiPriority w:val="0"/>
    <w:pPr>
      <w:spacing w:before="62" w:after="62"/>
    </w:pPr>
    <w:rPr>
      <w:rFonts w:cs="宋体"/>
      <w:szCs w:val="20"/>
    </w:rPr>
  </w:style>
  <w:style w:type="paragraph" w:customStyle="1" w:styleId="169">
    <w:name w:val="样式10"/>
    <w:basedOn w:val="1"/>
    <w:qFormat/>
    <w:uiPriority w:val="0"/>
    <w:pPr>
      <w:autoSpaceDE w:val="0"/>
      <w:autoSpaceDN w:val="0"/>
      <w:adjustRightInd w:val="0"/>
      <w:snapToGrid w:val="0"/>
      <w:spacing w:beforeLines="20" w:afterLines="20"/>
      <w:jc w:val="center"/>
    </w:pPr>
    <w:rPr>
      <w:rFonts w:ascii="仿宋_GB2312" w:hAnsi="宋体" w:eastAsia="楷体_GB2312"/>
      <w:szCs w:val="21"/>
    </w:rPr>
  </w:style>
  <w:style w:type="paragraph" w:customStyle="1" w:styleId="170">
    <w:name w:val="正文001"/>
    <w:basedOn w:val="1"/>
    <w:next w:val="1"/>
    <w:qFormat/>
    <w:uiPriority w:val="0"/>
    <w:rPr>
      <w:rFonts w:cs="宋体"/>
    </w:rPr>
  </w:style>
  <w:style w:type="paragraph" w:customStyle="1" w:styleId="171">
    <w:name w:val="默认段落字体 Para Char"/>
    <w:basedOn w:val="1"/>
    <w:qFormat/>
    <w:uiPriority w:val="0"/>
    <w:pPr>
      <w:jc w:val="center"/>
    </w:pPr>
    <w:rPr>
      <w:rFonts w:eastAsia="仿宋_GB2312"/>
      <w:b/>
      <w:sz w:val="32"/>
    </w:rPr>
  </w:style>
  <w:style w:type="paragraph" w:customStyle="1" w:styleId="172">
    <w:name w:val="标题 2-3"/>
    <w:basedOn w:val="21"/>
    <w:next w:val="21"/>
    <w:qFormat/>
    <w:uiPriority w:val="0"/>
    <w:pPr>
      <w:spacing w:before="120"/>
      <w:outlineLvl w:val="2"/>
    </w:pPr>
    <w:rPr>
      <w:rFonts w:ascii="Arial" w:hAnsi="Arial" w:eastAsia="黑体"/>
      <w:snapToGrid w:val="0"/>
      <w:kern w:val="0"/>
      <w:sz w:val="30"/>
      <w:szCs w:val="28"/>
    </w:rPr>
  </w:style>
  <w:style w:type="paragraph" w:customStyle="1" w:styleId="173">
    <w:name w:val="样式 样式 样式 表格 + 自动设置 + (西文) Times New Roman 黑色 两端对齐 +"/>
    <w:basedOn w:val="1"/>
    <w:qFormat/>
    <w:uiPriority w:val="0"/>
    <w:pPr>
      <w:autoSpaceDE w:val="0"/>
      <w:autoSpaceDN w:val="0"/>
      <w:spacing w:line="360" w:lineRule="exact"/>
      <w:jc w:val="center"/>
    </w:pPr>
    <w:rPr>
      <w:rFonts w:eastAsia="楷体_GB2312" w:cs="宋体"/>
      <w:color w:val="000000"/>
      <w:kern w:val="0"/>
      <w:szCs w:val="20"/>
    </w:rPr>
  </w:style>
  <w:style w:type="paragraph" w:customStyle="1" w:styleId="174">
    <w:name w:val="Char1"/>
    <w:basedOn w:val="1"/>
    <w:qFormat/>
    <w:uiPriority w:val="0"/>
    <w:rPr>
      <w:rFonts w:ascii="Tahoma" w:hAnsi="Tahoma"/>
      <w:szCs w:val="20"/>
    </w:rPr>
  </w:style>
  <w:style w:type="paragraph" w:customStyle="1" w:styleId="175">
    <w:name w:val="样式 样式 首行缩进:  2 字符 + 首行缩进:  2 字符"/>
    <w:basedOn w:val="176"/>
    <w:qFormat/>
    <w:uiPriority w:val="0"/>
    <w:pPr>
      <w:adjustRightInd/>
      <w:snapToGrid/>
      <w:ind w:firstLine="602"/>
      <w:textAlignment w:val="auto"/>
    </w:pPr>
    <w:rPr>
      <w:rFonts w:hAnsi="Times New Roman"/>
      <w:sz w:val="24"/>
    </w:rPr>
  </w:style>
  <w:style w:type="paragraph" w:customStyle="1" w:styleId="176">
    <w:name w:val="样式 首行缩进:  2 字符"/>
    <w:basedOn w:val="1"/>
    <w:qFormat/>
    <w:uiPriority w:val="0"/>
    <w:pPr>
      <w:autoSpaceDE w:val="0"/>
      <w:autoSpaceDN w:val="0"/>
      <w:adjustRightInd w:val="0"/>
      <w:snapToGrid w:val="0"/>
      <w:spacing w:line="560" w:lineRule="exact"/>
      <w:textAlignment w:val="baseline"/>
    </w:pPr>
    <w:rPr>
      <w:rFonts w:ascii="仿宋_GB2312" w:hAnsi="宋体" w:eastAsia="仿宋_GB2312"/>
      <w:sz w:val="28"/>
      <w:szCs w:val="20"/>
    </w:rPr>
  </w:style>
  <w:style w:type="paragraph" w:customStyle="1" w:styleId="177">
    <w:name w:val="Char Char Char Char Char Char Char Char Char Char1"/>
    <w:basedOn w:val="1"/>
    <w:qFormat/>
    <w:uiPriority w:val="0"/>
    <w:pPr>
      <w:widowControl/>
      <w:spacing w:after="160" w:line="240" w:lineRule="exact"/>
      <w:jc w:val="left"/>
    </w:pPr>
    <w:rPr>
      <w:rFonts w:ascii="Verdana" w:hAnsi="Verdana"/>
      <w:kern w:val="0"/>
      <w:szCs w:val="20"/>
      <w:lang w:eastAsia="en-US"/>
    </w:rPr>
  </w:style>
  <w:style w:type="paragraph" w:customStyle="1" w:styleId="178">
    <w:name w:val="pic-info"/>
    <w:basedOn w:val="1"/>
    <w:qFormat/>
    <w:uiPriority w:val="0"/>
    <w:pPr>
      <w:widowControl/>
      <w:spacing w:before="100" w:beforeAutospacing="1" w:after="100" w:afterAutospacing="1"/>
      <w:jc w:val="left"/>
    </w:pPr>
    <w:rPr>
      <w:rFonts w:ascii="宋体" w:hAnsi="宋体" w:cs="宋体"/>
      <w:kern w:val="0"/>
    </w:rPr>
  </w:style>
  <w:style w:type="paragraph" w:customStyle="1" w:styleId="179">
    <w:name w:val="Char1 Char Char Char Char Char1 Char Char Char Char Char Char Char Char Char Char Char Char1 Char2"/>
    <w:basedOn w:val="1"/>
    <w:qFormat/>
    <w:uiPriority w:val="0"/>
    <w:rPr>
      <w:rFonts w:ascii="宋体"/>
      <w:sz w:val="28"/>
    </w:rPr>
  </w:style>
  <w:style w:type="paragraph" w:customStyle="1" w:styleId="180">
    <w:name w:val="Char Char Char Char Char Char Char Char Char Char Char Char Char"/>
    <w:basedOn w:val="1"/>
    <w:qFormat/>
    <w:uiPriority w:val="0"/>
    <w:pPr>
      <w:snapToGrid w:val="0"/>
    </w:pPr>
    <w:rPr>
      <w:rFonts w:eastAsia="仿宋_GB2312"/>
    </w:rPr>
  </w:style>
  <w:style w:type="paragraph" w:customStyle="1" w:styleId="181">
    <w:name w:val="样式 公表文 + 段前: 0.2 行 段后: 0.2 行"/>
    <w:basedOn w:val="182"/>
    <w:qFormat/>
    <w:uiPriority w:val="0"/>
    <w:pPr>
      <w:spacing w:beforeLines="20" w:afterLines="20"/>
      <w:ind w:left="-20" w:leftChars="-20" w:right="-20" w:rightChars="-20"/>
    </w:pPr>
    <w:rPr>
      <w:rFonts w:hAnsi="Swis721 Lt BT" w:cs="宋体"/>
      <w:szCs w:val="20"/>
    </w:rPr>
  </w:style>
  <w:style w:type="paragraph" w:customStyle="1" w:styleId="182">
    <w:name w:val="公表文"/>
    <w:basedOn w:val="1"/>
    <w:qFormat/>
    <w:uiPriority w:val="0"/>
    <w:pPr>
      <w:autoSpaceDE w:val="0"/>
      <w:autoSpaceDN w:val="0"/>
      <w:adjustRightInd w:val="0"/>
      <w:snapToGrid w:val="0"/>
      <w:spacing w:beforeLines="30" w:afterLines="30"/>
      <w:jc w:val="center"/>
    </w:pPr>
    <w:rPr>
      <w:rFonts w:ascii="仿宋_GB2312" w:hAnsi="宋体" w:eastAsia="楷体_GB2312"/>
      <w:szCs w:val="28"/>
    </w:rPr>
  </w:style>
  <w:style w:type="paragraph" w:customStyle="1" w:styleId="183">
    <w:name w:val="四 Char"/>
    <w:basedOn w:val="1"/>
    <w:qFormat/>
    <w:uiPriority w:val="0"/>
    <w:pPr>
      <w:adjustRightInd w:val="0"/>
      <w:textAlignment w:val="baseline"/>
    </w:pPr>
    <w:rPr>
      <w:rFonts w:ascii="宋体"/>
      <w:sz w:val="28"/>
    </w:rPr>
  </w:style>
  <w:style w:type="paragraph" w:customStyle="1" w:styleId="184">
    <w:name w:val="表内文字"/>
    <w:basedOn w:val="22"/>
    <w:qFormat/>
    <w:uiPriority w:val="0"/>
    <w:pPr>
      <w:adjustRightInd w:val="0"/>
      <w:snapToGrid w:val="0"/>
      <w:spacing w:beforeLines="30" w:afterLines="30"/>
      <w:ind w:left="0" w:leftChars="0"/>
      <w:jc w:val="center"/>
    </w:pPr>
    <w:rPr>
      <w:rFonts w:ascii="宋体" w:hAnsi="宋体" w:eastAsia="楷体_GB2312"/>
      <w:color w:val="000000"/>
      <w:spacing w:val="1"/>
      <w:szCs w:val="20"/>
    </w:rPr>
  </w:style>
  <w:style w:type="paragraph" w:customStyle="1" w:styleId="185">
    <w:name w:val="表格"/>
    <w:link w:val="325"/>
    <w:qFormat/>
    <w:uiPriority w:val="0"/>
    <w:pPr>
      <w:widowControl w:val="0"/>
      <w:spacing w:line="360" w:lineRule="auto"/>
      <w:jc w:val="center"/>
    </w:pPr>
    <w:rPr>
      <w:rFonts w:ascii="Times New Roman" w:hAnsi="Times New Roman" w:eastAsia="宋体" w:cs="Times New Roman"/>
      <w:bCs/>
      <w:kern w:val="2"/>
      <w:sz w:val="21"/>
      <w:szCs w:val="21"/>
      <w:lang w:val="en-US" w:eastAsia="zh-CN" w:bidi="ar-SA"/>
    </w:rPr>
  </w:style>
  <w:style w:type="paragraph" w:customStyle="1" w:styleId="186">
    <w:name w:val="标题4"/>
    <w:basedOn w:val="1"/>
    <w:qFormat/>
    <w:uiPriority w:val="0"/>
    <w:pPr>
      <w:autoSpaceDE w:val="0"/>
      <w:autoSpaceDN w:val="0"/>
      <w:adjustRightInd w:val="0"/>
      <w:snapToGrid w:val="0"/>
      <w:spacing w:line="560" w:lineRule="exact"/>
    </w:pPr>
    <w:rPr>
      <w:rFonts w:ascii="仿宋_GB2312" w:hAnsi="宋体" w:eastAsia="仿宋_GB2312"/>
      <w:sz w:val="28"/>
      <w:szCs w:val="28"/>
    </w:rPr>
  </w:style>
  <w:style w:type="paragraph" w:customStyle="1" w:styleId="187">
    <w:name w:val="样式 公标题2 + 首行缩进:  2 字符 段前: 0.5 行 段后: 0.5 行"/>
    <w:basedOn w:val="84"/>
    <w:qFormat/>
    <w:uiPriority w:val="0"/>
    <w:rPr>
      <w:rFonts w:cs="宋体"/>
      <w:szCs w:val="20"/>
    </w:rPr>
  </w:style>
  <w:style w:type="paragraph" w:customStyle="1" w:styleId="188">
    <w:name w:val="标题样式2（多级）2 Char"/>
    <w:basedOn w:val="1"/>
    <w:qFormat/>
    <w:uiPriority w:val="0"/>
    <w:pPr>
      <w:tabs>
        <w:tab w:val="left" w:pos="840"/>
      </w:tabs>
      <w:spacing w:line="560" w:lineRule="exact"/>
      <w:ind w:left="840" w:hanging="420"/>
    </w:pPr>
    <w:rPr>
      <w:rFonts w:ascii="仿宋_GB2312" w:eastAsia="仿宋_GB2312"/>
      <w:b/>
    </w:rPr>
  </w:style>
  <w:style w:type="paragraph" w:customStyle="1" w:styleId="189">
    <w:name w:val="BT"/>
    <w:basedOn w:val="109"/>
    <w:qFormat/>
    <w:uiPriority w:val="0"/>
    <w:pPr>
      <w:spacing w:after="60"/>
      <w:ind w:firstLine="240" w:firstLineChars="100"/>
      <w:jc w:val="both"/>
    </w:pPr>
    <w:rPr>
      <w:szCs w:val="24"/>
    </w:rPr>
  </w:style>
  <w:style w:type="paragraph" w:customStyle="1" w:styleId="190">
    <w:name w:val="样式1"/>
    <w:basedOn w:val="1"/>
    <w:link w:val="407"/>
    <w:qFormat/>
    <w:uiPriority w:val="0"/>
    <w:pPr>
      <w:autoSpaceDE w:val="0"/>
      <w:autoSpaceDN w:val="0"/>
      <w:spacing w:line="560" w:lineRule="exact"/>
    </w:pPr>
    <w:rPr>
      <w:rFonts w:ascii="仿宋_GB2312" w:eastAsia="仿宋_GB2312"/>
      <w:sz w:val="28"/>
      <w:szCs w:val="28"/>
    </w:rPr>
  </w:style>
  <w:style w:type="paragraph" w:customStyle="1" w:styleId="191">
    <w:name w:val="公表单位"/>
    <w:basedOn w:val="67"/>
    <w:qFormat/>
    <w:uiPriority w:val="0"/>
    <w:pPr>
      <w:ind w:right="150" w:rightChars="150" w:firstLine="0" w:firstLineChars="0"/>
      <w:jc w:val="right"/>
    </w:pPr>
    <w:rPr>
      <w:rFonts w:hAnsi="宋体"/>
    </w:rPr>
  </w:style>
  <w:style w:type="paragraph" w:customStyle="1" w:styleId="192">
    <w:name w:val="XHR正文小四"/>
    <w:basedOn w:val="1"/>
    <w:qFormat/>
    <w:uiPriority w:val="0"/>
    <w:pPr>
      <w:adjustRightInd w:val="0"/>
      <w:snapToGrid w:val="0"/>
      <w:textAlignment w:val="baseline"/>
    </w:pPr>
    <w:rPr>
      <w:kern w:val="0"/>
      <w:szCs w:val="28"/>
    </w:rPr>
  </w:style>
  <w:style w:type="paragraph" w:customStyle="1" w:styleId="193">
    <w:name w:val="样式 公标题3 + 段前: 0.3 行 段后: 0.3 行1"/>
    <w:basedOn w:val="1"/>
    <w:qFormat/>
    <w:uiPriority w:val="0"/>
    <w:pPr>
      <w:tabs>
        <w:tab w:val="left" w:pos="851"/>
      </w:tabs>
      <w:autoSpaceDE w:val="0"/>
      <w:autoSpaceDN w:val="0"/>
      <w:adjustRightInd w:val="0"/>
      <w:snapToGrid w:val="0"/>
      <w:spacing w:beforeLines="50" w:afterLines="50"/>
      <w:ind w:left="1418" w:hanging="1418"/>
      <w:jc w:val="left"/>
      <w:outlineLvl w:val="2"/>
    </w:pPr>
    <w:rPr>
      <w:rFonts w:eastAsia="黑体"/>
      <w:sz w:val="30"/>
      <w:szCs w:val="30"/>
    </w:rPr>
  </w:style>
  <w:style w:type="paragraph" w:customStyle="1" w:styleId="194">
    <w:name w:val="样式 样式 表名 + 首行缩进:  1 字符 + 首行缩进:  1 字符"/>
    <w:basedOn w:val="137"/>
    <w:qFormat/>
    <w:uiPriority w:val="0"/>
    <w:pPr>
      <w:ind w:firstLine="240"/>
    </w:pPr>
  </w:style>
  <w:style w:type="paragraph" w:customStyle="1" w:styleId="195">
    <w:name w:val="Char Char Char Char Char Char Char Char Char Char Char Char Char Char Char Char2"/>
    <w:basedOn w:val="1"/>
    <w:qFormat/>
    <w:uiPriority w:val="0"/>
    <w:rPr>
      <w:rFonts w:ascii="Tahoma" w:hAnsi="Tahoma"/>
      <w:szCs w:val="20"/>
    </w:rPr>
  </w:style>
  <w:style w:type="paragraph" w:customStyle="1" w:styleId="196">
    <w:name w:val="正文 + 宋体"/>
    <w:basedOn w:val="1"/>
    <w:qFormat/>
    <w:uiPriority w:val="0"/>
    <w:pPr>
      <w:autoSpaceDE w:val="0"/>
      <w:autoSpaceDN w:val="0"/>
      <w:ind w:firstLine="560"/>
    </w:pPr>
    <w:rPr>
      <w:rFonts w:ascii="仿宋_GB2312"/>
      <w:color w:val="000000"/>
      <w:szCs w:val="20"/>
    </w:rPr>
  </w:style>
  <w:style w:type="paragraph" w:customStyle="1" w:styleId="197">
    <w:name w:val="样式 样式 表头 + 居中 + 两端对齐"/>
    <w:basedOn w:val="1"/>
    <w:qFormat/>
    <w:uiPriority w:val="0"/>
    <w:pPr>
      <w:autoSpaceDE w:val="0"/>
      <w:autoSpaceDN w:val="0"/>
      <w:spacing w:before="60" w:after="60"/>
      <w:ind w:firstLine="100" w:firstLineChars="100"/>
      <w:jc w:val="left"/>
    </w:pPr>
    <w:rPr>
      <w:rFonts w:ascii="Arial" w:hAnsi="Arial" w:eastAsia="黑体" w:cs="宋体"/>
      <w:szCs w:val="28"/>
    </w:rPr>
  </w:style>
  <w:style w:type="paragraph" w:customStyle="1" w:styleId="198">
    <w:name w:val="样式 标题 2节标题 1.11.1标题2b2H22nd levelh2Header 2l2Titre2Hea..."/>
    <w:basedOn w:val="3"/>
    <w:qFormat/>
    <w:uiPriority w:val="0"/>
    <w:pPr>
      <w:tabs>
        <w:tab w:val="left" w:pos="680"/>
      </w:tabs>
      <w:adjustRightInd w:val="0"/>
      <w:spacing w:beforeLines="150" w:line="240" w:lineRule="auto"/>
      <w:ind w:left="567"/>
      <w:jc w:val="left"/>
      <w:textAlignment w:val="baseline"/>
    </w:pPr>
    <w:rPr>
      <w:bCs w:val="0"/>
      <w:color w:val="000000"/>
      <w:szCs w:val="28"/>
    </w:rPr>
  </w:style>
  <w:style w:type="paragraph" w:customStyle="1" w:styleId="199">
    <w:name w:val="公表注"/>
    <w:basedOn w:val="1"/>
    <w:qFormat/>
    <w:uiPriority w:val="0"/>
    <w:pPr>
      <w:autoSpaceDE w:val="0"/>
      <w:autoSpaceDN w:val="0"/>
      <w:adjustRightInd w:val="0"/>
      <w:snapToGrid w:val="0"/>
    </w:pPr>
    <w:rPr>
      <w:rFonts w:ascii="仿宋_GB2312" w:hAnsi="Swis721 Lt BT" w:eastAsia="楷体_GB2312"/>
      <w:szCs w:val="28"/>
    </w:rPr>
  </w:style>
  <w:style w:type="paragraph" w:customStyle="1" w:styleId="200">
    <w:name w:val="样式 公标题4 + 首行缩进:  0.71 字符"/>
    <w:basedOn w:val="68"/>
    <w:qFormat/>
    <w:uiPriority w:val="0"/>
    <w:pPr>
      <w:ind w:firstLine="199" w:firstLineChars="71"/>
    </w:pPr>
    <w:rPr>
      <w:rFonts w:cs="宋体"/>
      <w:szCs w:val="20"/>
    </w:rPr>
  </w:style>
  <w:style w:type="paragraph" w:customStyle="1" w:styleId="201">
    <w:name w:val="标题1"/>
    <w:basedOn w:val="1"/>
    <w:qFormat/>
    <w:uiPriority w:val="0"/>
    <w:pPr>
      <w:outlineLvl w:val="4"/>
    </w:pPr>
    <w:rPr>
      <w:szCs w:val="20"/>
    </w:rPr>
  </w:style>
  <w:style w:type="paragraph" w:customStyle="1" w:styleId="202">
    <w:name w:val="公标题3"/>
    <w:basedOn w:val="84"/>
    <w:qFormat/>
    <w:uiPriority w:val="0"/>
    <w:pPr>
      <w:spacing w:beforeLines="30" w:afterLines="30"/>
      <w:outlineLvl w:val="2"/>
    </w:pPr>
    <w:rPr>
      <w:sz w:val="28"/>
    </w:rPr>
  </w:style>
  <w:style w:type="paragraph" w:customStyle="1" w:styleId="203">
    <w:name w:val="p0"/>
    <w:basedOn w:val="1"/>
    <w:qFormat/>
    <w:uiPriority w:val="0"/>
    <w:pPr>
      <w:widowControl/>
    </w:pPr>
    <w:rPr>
      <w:kern w:val="0"/>
      <w:szCs w:val="21"/>
    </w:rPr>
  </w:style>
  <w:style w:type="paragraph" w:customStyle="1" w:styleId="204">
    <w:name w:val="标题3 Char"/>
    <w:basedOn w:val="159"/>
    <w:qFormat/>
    <w:uiPriority w:val="0"/>
    <w:pPr>
      <w:tabs>
        <w:tab w:val="left" w:pos="1680"/>
        <w:tab w:val="left" w:pos="1827"/>
        <w:tab w:val="clear" w:pos="1407"/>
      </w:tabs>
      <w:ind w:left="1680"/>
    </w:pPr>
    <w:rPr>
      <w:kern w:val="2"/>
    </w:rPr>
  </w:style>
  <w:style w:type="paragraph" w:customStyle="1" w:styleId="205">
    <w:name w:val="样式 公标题2 + 段前: 0.5 行 段后: 0.5 行1"/>
    <w:basedOn w:val="84"/>
    <w:qFormat/>
    <w:uiPriority w:val="0"/>
    <w:pPr>
      <w:spacing w:beforeLines="0" w:afterLines="0" w:line="560" w:lineRule="exact"/>
      <w:jc w:val="left"/>
    </w:pPr>
    <w:rPr>
      <w:rFonts w:ascii="Arial" w:hAnsi="Arial" w:cs="宋体"/>
      <w:szCs w:val="32"/>
    </w:rPr>
  </w:style>
  <w:style w:type="paragraph" w:customStyle="1" w:styleId="206">
    <w:name w:val="CM20"/>
    <w:basedOn w:val="131"/>
    <w:next w:val="131"/>
    <w:qFormat/>
    <w:uiPriority w:val="0"/>
    <w:pPr>
      <w:spacing w:line="500" w:lineRule="atLeast"/>
    </w:pPr>
    <w:rPr>
      <w:rFonts w:ascii="黑体" w:eastAsia="黑体"/>
      <w:color w:val="auto"/>
    </w:rPr>
  </w:style>
  <w:style w:type="paragraph" w:customStyle="1" w:styleId="207">
    <w:name w:val="空行"/>
    <w:basedOn w:val="1"/>
    <w:qFormat/>
    <w:uiPriority w:val="0"/>
    <w:pPr>
      <w:autoSpaceDE w:val="0"/>
      <w:autoSpaceDN w:val="0"/>
      <w:adjustRightInd w:val="0"/>
      <w:snapToGrid w:val="0"/>
      <w:ind w:firstLine="100" w:firstLineChars="100"/>
    </w:pPr>
    <w:rPr>
      <w:rFonts w:ascii="黑体" w:hAnsi="宋体" w:eastAsia="黑体"/>
      <w:sz w:val="11"/>
      <w:szCs w:val="28"/>
    </w:rPr>
  </w:style>
  <w:style w:type="paragraph" w:customStyle="1" w:styleId="208">
    <w:name w:val="表文"/>
    <w:basedOn w:val="124"/>
    <w:qFormat/>
    <w:uiPriority w:val="0"/>
    <w:pPr>
      <w:spacing w:beforeLines="30" w:afterLines="30" w:line="240" w:lineRule="auto"/>
      <w:ind w:left="-20" w:leftChars="-20" w:right="-20" w:rightChars="-20" w:firstLine="0" w:firstLineChars="0"/>
      <w:jc w:val="center"/>
    </w:pPr>
    <w:rPr>
      <w:rFonts w:ascii="宋体" w:eastAsia="楷体_GB2312"/>
      <w:sz w:val="21"/>
    </w:rPr>
  </w:style>
  <w:style w:type="paragraph" w:customStyle="1" w:styleId="209">
    <w:name w:val="Char Char Char Char Char Char Char1"/>
    <w:basedOn w:val="1"/>
    <w:qFormat/>
    <w:uiPriority w:val="0"/>
    <w:rPr>
      <w:szCs w:val="20"/>
    </w:rPr>
  </w:style>
  <w:style w:type="paragraph" w:customStyle="1" w:styleId="210">
    <w:name w:val="样式 公表序 + 首行缩进:  1 字符1"/>
    <w:basedOn w:val="67"/>
    <w:qFormat/>
    <w:uiPriority w:val="0"/>
    <w:pPr>
      <w:ind w:firstLine="240"/>
    </w:pPr>
    <w:rPr>
      <w:rFonts w:cs="宋体"/>
      <w:szCs w:val="20"/>
    </w:rPr>
  </w:style>
  <w:style w:type="paragraph" w:customStyle="1" w:styleId="211">
    <w:name w:val="公正文"/>
    <w:basedOn w:val="12"/>
    <w:qFormat/>
    <w:uiPriority w:val="0"/>
    <w:pPr>
      <w:autoSpaceDE/>
      <w:autoSpaceDN/>
      <w:snapToGrid w:val="0"/>
      <w:spacing w:line="355" w:lineRule="auto"/>
      <w:ind w:firstLine="200"/>
      <w:textAlignment w:val="auto"/>
    </w:pPr>
    <w:rPr>
      <w:rFonts w:ascii="宋体" w:hAnsi="宋体" w:eastAsia="仿宋_GB2312"/>
      <w:kern w:val="2"/>
      <w:szCs w:val="24"/>
    </w:rPr>
  </w:style>
  <w:style w:type="paragraph" w:customStyle="1" w:styleId="212">
    <w:name w:val="2 Char"/>
    <w:basedOn w:val="1"/>
    <w:qFormat/>
    <w:uiPriority w:val="0"/>
    <w:rPr>
      <w:rFonts w:ascii="仿宋_GB2312" w:eastAsia="仿宋_GB2312"/>
      <w:sz w:val="28"/>
      <w:szCs w:val="28"/>
    </w:rPr>
  </w:style>
  <w:style w:type="paragraph" w:customStyle="1" w:styleId="213">
    <w:name w:val="样式 标题 3Sottoparagrafoh33rd levelH3标题13一般标题标题3标题 小3标题 3 ..."/>
    <w:basedOn w:val="4"/>
    <w:qFormat/>
    <w:uiPriority w:val="0"/>
    <w:pPr>
      <w:tabs>
        <w:tab w:val="left" w:pos="900"/>
      </w:tabs>
      <w:autoSpaceDE w:val="0"/>
      <w:autoSpaceDN w:val="0"/>
      <w:adjustRightInd w:val="0"/>
      <w:spacing w:beforeLines="50" w:after="100" w:line="240" w:lineRule="auto"/>
      <w:ind w:left="1418"/>
      <w:jc w:val="left"/>
      <w:textAlignment w:val="baseline"/>
    </w:pPr>
    <w:rPr>
      <w:rFonts w:ascii="Arial" w:hAnsi="Arial" w:eastAsia="方正小标宋简体"/>
      <w:bCs w:val="0"/>
      <w:color w:val="000000"/>
      <w:kern w:val="0"/>
      <w:sz w:val="28"/>
      <w:szCs w:val="28"/>
      <w:lang w:val="zh-CN"/>
    </w:rPr>
  </w:style>
  <w:style w:type="paragraph" w:customStyle="1" w:styleId="214">
    <w:name w:val="Char Char Char Char"/>
    <w:basedOn w:val="1"/>
    <w:next w:val="1"/>
    <w:qFormat/>
    <w:uiPriority w:val="0"/>
    <w:pPr>
      <w:spacing w:line="240" w:lineRule="atLeast"/>
      <w:ind w:left="420" w:firstLine="420"/>
      <w:jc w:val="left"/>
    </w:pPr>
    <w:rPr>
      <w:kern w:val="0"/>
      <w:szCs w:val="21"/>
    </w:rPr>
  </w:style>
  <w:style w:type="paragraph" w:customStyle="1" w:styleId="215">
    <w:name w:val="大标题"/>
    <w:basedOn w:val="21"/>
    <w:next w:val="2"/>
    <w:qFormat/>
    <w:uiPriority w:val="0"/>
    <w:pPr>
      <w:autoSpaceDE w:val="0"/>
      <w:autoSpaceDN w:val="0"/>
      <w:adjustRightInd w:val="0"/>
      <w:snapToGrid w:val="0"/>
      <w:spacing w:afterLines="100"/>
      <w:ind w:firstLine="480"/>
      <w:outlineLvl w:val="0"/>
    </w:pPr>
    <w:rPr>
      <w:rFonts w:ascii="仿宋_GB2312" w:eastAsia="黑体"/>
      <w:b/>
      <w:snapToGrid w:val="0"/>
      <w:kern w:val="0"/>
      <w:sz w:val="36"/>
      <w:szCs w:val="32"/>
    </w:rPr>
  </w:style>
  <w:style w:type="paragraph" w:customStyle="1" w:styleId="216">
    <w:name w:val="应用－正文"/>
    <w:basedOn w:val="1"/>
    <w:qFormat/>
    <w:uiPriority w:val="0"/>
    <w:pPr>
      <w:spacing w:line="560" w:lineRule="exact"/>
    </w:pPr>
    <w:rPr>
      <w:rFonts w:ascii="仿宋_GB2312" w:hAnsi="仿宋_GB2312" w:eastAsia="仿宋_GB2312" w:cs="宋体"/>
      <w:kern w:val="0"/>
      <w:sz w:val="28"/>
      <w:szCs w:val="28"/>
    </w:rPr>
  </w:style>
  <w:style w:type="paragraph" w:customStyle="1" w:styleId="217">
    <w:name w:val="A正文四号宋体"/>
    <w:basedOn w:val="1"/>
    <w:qFormat/>
    <w:uiPriority w:val="0"/>
    <w:pPr>
      <w:autoSpaceDE w:val="0"/>
      <w:autoSpaceDN w:val="0"/>
      <w:spacing w:line="500" w:lineRule="atLeast"/>
      <w:textAlignment w:val="bottom"/>
    </w:pPr>
    <w:rPr>
      <w:sz w:val="28"/>
    </w:rPr>
  </w:style>
  <w:style w:type="paragraph" w:customStyle="1" w:styleId="218">
    <w:name w:val="Char Char Char Char Char Char Char Char Char Char Char Char Char Char Char Char Char Char Char Char Char Char Char Char2 Char"/>
    <w:basedOn w:val="1"/>
    <w:qFormat/>
    <w:uiPriority w:val="0"/>
    <w:pPr>
      <w:widowControl/>
      <w:spacing w:after="160" w:line="240" w:lineRule="exact"/>
      <w:jc w:val="center"/>
    </w:pPr>
    <w:rPr>
      <w:rFonts w:ascii="黑体" w:hAnsi="Verdana" w:eastAsia="黑体"/>
      <w:kern w:val="0"/>
      <w:sz w:val="32"/>
      <w:szCs w:val="32"/>
      <w:lang w:eastAsia="en-US"/>
    </w:rPr>
  </w:style>
  <w:style w:type="paragraph" w:customStyle="1" w:styleId="219">
    <w:name w:val="应用　标题3"/>
    <w:basedOn w:val="1"/>
    <w:qFormat/>
    <w:uiPriority w:val="0"/>
    <w:pPr>
      <w:spacing w:before="100" w:after="100" w:line="480" w:lineRule="auto"/>
    </w:pPr>
    <w:rPr>
      <w:rFonts w:ascii="宋体" w:hAnsi="宋体" w:eastAsia="黑体" w:cs="宋体"/>
      <w:sz w:val="28"/>
    </w:rPr>
  </w:style>
  <w:style w:type="paragraph" w:customStyle="1" w:styleId="220">
    <w:name w:val="xl58"/>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color w:val="000000"/>
      <w:kern w:val="0"/>
      <w:szCs w:val="21"/>
    </w:rPr>
  </w:style>
  <w:style w:type="paragraph" w:customStyle="1" w:styleId="221">
    <w:name w:val="样式 样式 公标题4 + 首行缩进:  0.71 字符 + 首行缩进:  0 字符"/>
    <w:basedOn w:val="200"/>
    <w:qFormat/>
    <w:uiPriority w:val="0"/>
    <w:pPr>
      <w:ind w:firstLine="0" w:firstLineChars="0"/>
    </w:pPr>
  </w:style>
  <w:style w:type="paragraph" w:customStyle="1" w:styleId="222">
    <w:name w:val="表格2"/>
    <w:basedOn w:val="1"/>
    <w:qFormat/>
    <w:uiPriority w:val="0"/>
    <w:pPr>
      <w:adjustRightInd w:val="0"/>
      <w:snapToGrid w:val="0"/>
      <w:spacing w:beforeLines="25" w:afterLines="25"/>
      <w:jc w:val="center"/>
    </w:pPr>
    <w:rPr>
      <w:kern w:val="0"/>
    </w:rPr>
  </w:style>
  <w:style w:type="paragraph" w:customStyle="1" w:styleId="223">
    <w:name w:val="Char Char Char Char Char Char Char Char Char Char"/>
    <w:basedOn w:val="1"/>
    <w:qFormat/>
    <w:uiPriority w:val="0"/>
    <w:rPr>
      <w:sz w:val="28"/>
    </w:rPr>
  </w:style>
  <w:style w:type="paragraph" w:customStyle="1" w:styleId="224">
    <w:name w:val="图名"/>
    <w:basedOn w:val="1"/>
    <w:qFormat/>
    <w:uiPriority w:val="0"/>
    <w:pPr>
      <w:autoSpaceDE w:val="0"/>
      <w:autoSpaceDN w:val="0"/>
      <w:adjustRightInd w:val="0"/>
      <w:snapToGrid w:val="0"/>
      <w:spacing w:line="560" w:lineRule="exact"/>
      <w:jc w:val="center"/>
    </w:pPr>
    <w:rPr>
      <w:rFonts w:eastAsia="黑体"/>
      <w:szCs w:val="28"/>
    </w:rPr>
  </w:style>
  <w:style w:type="paragraph" w:customStyle="1" w:styleId="225">
    <w:name w:val="表格1"/>
    <w:next w:val="1"/>
    <w:qFormat/>
    <w:uiPriority w:val="0"/>
    <w:pPr>
      <w:adjustRightInd w:val="0"/>
      <w:snapToGrid w:val="0"/>
      <w:jc w:val="center"/>
    </w:pPr>
    <w:rPr>
      <w:rFonts w:ascii="Times New Roman" w:hAnsi="Times New Roman" w:eastAsia="宋体" w:cs="Times New Roman"/>
      <w:snapToGrid w:val="0"/>
      <w:sz w:val="28"/>
      <w:szCs w:val="28"/>
      <w:lang w:val="en-US" w:eastAsia="zh-CN" w:bidi="ar-SA"/>
    </w:rPr>
  </w:style>
  <w:style w:type="paragraph" w:customStyle="1" w:styleId="226">
    <w:name w:val="List Paragraph"/>
    <w:basedOn w:val="1"/>
    <w:qFormat/>
    <w:uiPriority w:val="0"/>
    <w:pPr>
      <w:ind w:firstLine="420"/>
    </w:pPr>
  </w:style>
  <w:style w:type="paragraph" w:customStyle="1" w:styleId="227">
    <w:name w:val="标题样式2（多级）"/>
    <w:basedOn w:val="1"/>
    <w:qFormat/>
    <w:uiPriority w:val="0"/>
    <w:pPr>
      <w:tabs>
        <w:tab w:val="left" w:pos="1271"/>
      </w:tabs>
      <w:spacing w:line="560" w:lineRule="exact"/>
      <w:ind w:left="1271" w:hanging="420"/>
    </w:pPr>
    <w:rPr>
      <w:rFonts w:ascii="仿宋_GB2312" w:eastAsia="仿宋_GB2312"/>
      <w:sz w:val="28"/>
      <w:szCs w:val="20"/>
    </w:rPr>
  </w:style>
  <w:style w:type="paragraph" w:customStyle="1" w:styleId="228">
    <w:name w:val="CM3"/>
    <w:basedOn w:val="131"/>
    <w:next w:val="131"/>
    <w:qFormat/>
    <w:uiPriority w:val="0"/>
    <w:pPr>
      <w:spacing w:line="496" w:lineRule="atLeast"/>
    </w:pPr>
    <w:rPr>
      <w:rFonts w:ascii="黑体" w:eastAsia="黑体" w:cs="黑体"/>
      <w:color w:val="auto"/>
    </w:rPr>
  </w:style>
  <w:style w:type="paragraph" w:customStyle="1" w:styleId="229">
    <w:name w:val="Char14"/>
    <w:basedOn w:val="1"/>
    <w:qFormat/>
    <w:uiPriority w:val="0"/>
    <w:pPr>
      <w:widowControl/>
      <w:spacing w:after="160" w:line="240" w:lineRule="exact"/>
      <w:jc w:val="left"/>
    </w:pPr>
    <w:rPr>
      <w:rFonts w:ascii="Verdana" w:hAnsi="Verdana" w:eastAsia="仿宋_GB2312"/>
      <w:kern w:val="0"/>
      <w:szCs w:val="20"/>
      <w:lang w:eastAsia="en-US"/>
    </w:rPr>
  </w:style>
  <w:style w:type="paragraph" w:customStyle="1" w:styleId="230">
    <w:name w:val="CM4"/>
    <w:basedOn w:val="131"/>
    <w:next w:val="131"/>
    <w:qFormat/>
    <w:uiPriority w:val="0"/>
    <w:pPr>
      <w:spacing w:line="498" w:lineRule="atLeast"/>
    </w:pPr>
    <w:rPr>
      <w:rFonts w:ascii="黑体" w:eastAsia="黑体" w:cs="黑体"/>
      <w:color w:val="auto"/>
    </w:rPr>
  </w:style>
  <w:style w:type="paragraph" w:customStyle="1" w:styleId="231">
    <w:name w:val="Char Char Char Char Char Char1 Char"/>
    <w:basedOn w:val="1"/>
    <w:qFormat/>
    <w:uiPriority w:val="0"/>
    <w:rPr>
      <w:rFonts w:ascii="Tahoma" w:hAnsi="Tahoma"/>
      <w:szCs w:val="20"/>
    </w:rPr>
  </w:style>
  <w:style w:type="paragraph" w:customStyle="1" w:styleId="232">
    <w:name w:val="样式 公标题3 + 段前: 0.3 行 段后: 0.3 行"/>
    <w:basedOn w:val="1"/>
    <w:qFormat/>
    <w:uiPriority w:val="0"/>
    <w:pPr>
      <w:autoSpaceDE w:val="0"/>
      <w:autoSpaceDN w:val="0"/>
      <w:adjustRightInd w:val="0"/>
      <w:snapToGrid w:val="0"/>
      <w:spacing w:beforeLines="30" w:afterLines="30" w:line="355" w:lineRule="auto"/>
      <w:outlineLvl w:val="2"/>
    </w:pPr>
    <w:rPr>
      <w:rFonts w:ascii="Swis721 BT" w:hAnsi="Swis721 BT" w:eastAsia="黑体" w:cs="宋体"/>
      <w:sz w:val="28"/>
      <w:szCs w:val="20"/>
    </w:rPr>
  </w:style>
  <w:style w:type="paragraph" w:customStyle="1" w:styleId="233">
    <w:name w:val="sy表标题"/>
    <w:basedOn w:val="1"/>
    <w:next w:val="1"/>
    <w:qFormat/>
    <w:uiPriority w:val="0"/>
    <w:pPr>
      <w:snapToGrid w:val="0"/>
      <w:spacing w:beforeLines="50" w:line="240" w:lineRule="atLeast"/>
      <w:jc w:val="center"/>
      <w:outlineLvl w:val="4"/>
    </w:pPr>
    <w:rPr>
      <w:rFonts w:ascii="Arial" w:hAnsi="Arial" w:eastAsia="黑体"/>
    </w:rPr>
  </w:style>
  <w:style w:type="paragraph" w:customStyle="1" w:styleId="234">
    <w:name w:val="Char6"/>
    <w:basedOn w:val="1"/>
    <w:qFormat/>
    <w:uiPriority w:val="0"/>
    <w:pPr>
      <w:jc w:val="left"/>
    </w:pPr>
    <w:rPr>
      <w:rFonts w:ascii="宋体" w:hAnsi="宋体" w:cs="宋体"/>
      <w:kern w:val="0"/>
    </w:rPr>
  </w:style>
  <w:style w:type="paragraph" w:customStyle="1" w:styleId="235">
    <w:name w:val="样式 样式 样式 样式 正文文本正文文字 Char + 首行缩进:  2 字符1 Char + Times New Roman ..."/>
    <w:basedOn w:val="72"/>
    <w:qFormat/>
    <w:uiPriority w:val="0"/>
    <w:pPr>
      <w:ind w:firstLine="560"/>
    </w:pPr>
    <w:rPr>
      <w:rFonts w:cs="宋体"/>
      <w:szCs w:val="20"/>
    </w:rPr>
  </w:style>
  <w:style w:type="paragraph" w:customStyle="1" w:styleId="236">
    <w:name w:val="标题样式2（多级）2"/>
    <w:basedOn w:val="1"/>
    <w:qFormat/>
    <w:uiPriority w:val="0"/>
    <w:pPr>
      <w:spacing w:line="560" w:lineRule="exact"/>
    </w:pPr>
    <w:rPr>
      <w:rFonts w:ascii="仿宋_GB2312" w:eastAsia="仿宋_GB2312"/>
      <w:szCs w:val="20"/>
    </w:rPr>
  </w:style>
  <w:style w:type="paragraph" w:customStyle="1" w:styleId="237">
    <w:name w:val="表内字"/>
    <w:qFormat/>
    <w:uiPriority w:val="0"/>
    <w:pPr>
      <w:tabs>
        <w:tab w:val="left" w:pos="8040"/>
      </w:tabs>
      <w:spacing w:line="360" w:lineRule="exact"/>
      <w:jc w:val="center"/>
    </w:pPr>
    <w:rPr>
      <w:rFonts w:ascii="Times New Roman" w:hAnsi="Times New Roman" w:eastAsia="楷体_GB2312" w:cs="Times New Roman"/>
      <w:sz w:val="21"/>
      <w:szCs w:val="21"/>
      <w:lang w:val="en-US" w:eastAsia="zh-CN" w:bidi="ar-SA"/>
    </w:rPr>
  </w:style>
  <w:style w:type="paragraph" w:customStyle="1" w:styleId="238">
    <w:name w:val="章"/>
    <w:basedOn w:val="1"/>
    <w:qFormat/>
    <w:uiPriority w:val="0"/>
    <w:pPr>
      <w:outlineLvl w:val="0"/>
    </w:pPr>
    <w:rPr>
      <w:rFonts w:ascii="黑体" w:eastAsia="黑体"/>
      <w:sz w:val="28"/>
      <w:szCs w:val="20"/>
    </w:rPr>
  </w:style>
  <w:style w:type="paragraph" w:customStyle="1" w:styleId="239">
    <w:name w:val="标题样式2（4.1多级）"/>
    <w:basedOn w:val="1"/>
    <w:qFormat/>
    <w:uiPriority w:val="0"/>
    <w:pPr>
      <w:tabs>
        <w:tab w:val="left" w:pos="1260"/>
      </w:tabs>
      <w:spacing w:line="336" w:lineRule="auto"/>
      <w:ind w:left="1260" w:hanging="420"/>
      <w:outlineLvl w:val="2"/>
    </w:pPr>
    <w:rPr>
      <w:rFonts w:ascii="仿宋_GB2312" w:eastAsia="仿宋_GB2312"/>
      <w:b/>
      <w:bCs/>
      <w:szCs w:val="20"/>
    </w:rPr>
  </w:style>
  <w:style w:type="paragraph" w:customStyle="1" w:styleId="240">
    <w:name w:val="样式 正文文本正文文字 Char + 首行缩进:  2 字符1"/>
    <w:basedOn w:val="21"/>
    <w:qFormat/>
    <w:uiPriority w:val="0"/>
    <w:pPr>
      <w:autoSpaceDE w:val="0"/>
      <w:autoSpaceDN w:val="0"/>
      <w:spacing w:after="0" w:line="560" w:lineRule="exact"/>
      <w:ind w:firstLine="560"/>
    </w:pPr>
    <w:rPr>
      <w:rFonts w:ascii="仿宋_GB2312" w:eastAsia="仿宋_GB2312" w:cs="宋体"/>
      <w:sz w:val="28"/>
      <w:szCs w:val="20"/>
    </w:rPr>
  </w:style>
  <w:style w:type="paragraph" w:customStyle="1" w:styleId="241">
    <w:name w:val="xl23"/>
    <w:basedOn w:val="1"/>
    <w:qFormat/>
    <w:uiPriority w:val="0"/>
    <w:pPr>
      <w:widowControl/>
      <w:pBdr>
        <w:left w:val="single" w:color="auto" w:sz="4" w:space="0"/>
        <w:right w:val="single" w:color="auto" w:sz="4" w:space="0"/>
      </w:pBdr>
      <w:spacing w:before="100" w:beforeAutospacing="1" w:after="100" w:afterAutospacing="1"/>
      <w:jc w:val="center"/>
    </w:pPr>
    <w:rPr>
      <w:rFonts w:eastAsia="Arial Unicode MS"/>
      <w:kern w:val="0"/>
    </w:rPr>
  </w:style>
  <w:style w:type="paragraph" w:customStyle="1" w:styleId="242">
    <w:name w:val="样式 样式 样式 首行缩进:  2 字符 + 首行缩进:  2 字符 + 首行缩进:  2 字符"/>
    <w:basedOn w:val="1"/>
    <w:qFormat/>
    <w:uiPriority w:val="0"/>
    <w:pPr>
      <w:autoSpaceDE w:val="0"/>
      <w:autoSpaceDN w:val="0"/>
      <w:spacing w:line="460" w:lineRule="exact"/>
      <w:ind w:firstLine="480"/>
    </w:pPr>
    <w:rPr>
      <w:rFonts w:ascii="仿宋_GB2312" w:hAnsi="宋体"/>
      <w:bCs/>
      <w:szCs w:val="28"/>
    </w:rPr>
  </w:style>
  <w:style w:type="paragraph" w:customStyle="1" w:styleId="243">
    <w:name w:val="改后小四正文"/>
    <w:basedOn w:val="1"/>
    <w:qFormat/>
    <w:uiPriority w:val="0"/>
    <w:pPr>
      <w:autoSpaceDE w:val="0"/>
      <w:autoSpaceDN w:val="0"/>
      <w:ind w:firstLine="480"/>
      <w:textAlignment w:val="bottom"/>
    </w:pPr>
    <w:rPr>
      <w:rFonts w:cs="宋体"/>
      <w:szCs w:val="20"/>
    </w:rPr>
  </w:style>
  <w:style w:type="paragraph" w:customStyle="1" w:styleId="244">
    <w:name w:val="CM16"/>
    <w:basedOn w:val="131"/>
    <w:next w:val="131"/>
    <w:qFormat/>
    <w:uiPriority w:val="0"/>
    <w:pPr>
      <w:spacing w:line="498" w:lineRule="atLeast"/>
    </w:pPr>
    <w:rPr>
      <w:rFonts w:ascii="黑体" w:eastAsia="黑体" w:cs="黑体"/>
      <w:color w:val="auto"/>
    </w:rPr>
  </w:style>
  <w:style w:type="paragraph" w:customStyle="1" w:styleId="245">
    <w:name w:val="CM15"/>
    <w:basedOn w:val="131"/>
    <w:next w:val="131"/>
    <w:qFormat/>
    <w:uiPriority w:val="0"/>
    <w:pPr>
      <w:spacing w:line="540" w:lineRule="atLeast"/>
    </w:pPr>
    <w:rPr>
      <w:rFonts w:ascii="黑体" w:eastAsia="黑体" w:cs="黑体"/>
      <w:color w:val="auto"/>
    </w:rPr>
  </w:style>
  <w:style w:type="paragraph" w:customStyle="1" w:styleId="246">
    <w:name w:val="Char Char1"/>
    <w:basedOn w:val="1"/>
    <w:qFormat/>
    <w:uiPriority w:val="0"/>
    <w:pPr>
      <w:widowControl/>
      <w:spacing w:after="160" w:line="240" w:lineRule="exact"/>
      <w:jc w:val="left"/>
    </w:pPr>
    <w:rPr>
      <w:rFonts w:ascii="Verdana" w:hAnsi="Verdana"/>
      <w:kern w:val="0"/>
      <w:sz w:val="20"/>
      <w:szCs w:val="20"/>
      <w:lang w:eastAsia="en-US"/>
    </w:rPr>
  </w:style>
  <w:style w:type="paragraph" w:customStyle="1" w:styleId="247">
    <w:name w:val="CM8"/>
    <w:basedOn w:val="131"/>
    <w:next w:val="131"/>
    <w:qFormat/>
    <w:uiPriority w:val="0"/>
    <w:pPr>
      <w:spacing w:line="498" w:lineRule="atLeast"/>
    </w:pPr>
    <w:rPr>
      <w:rFonts w:ascii="黑体" w:eastAsia="黑体" w:cs="黑体"/>
      <w:color w:val="auto"/>
    </w:rPr>
  </w:style>
  <w:style w:type="paragraph" w:customStyle="1" w:styleId="248">
    <w:name w:val="标题 1-2"/>
    <w:basedOn w:val="172"/>
    <w:next w:val="21"/>
    <w:qFormat/>
    <w:uiPriority w:val="0"/>
    <w:pPr>
      <w:adjustRightInd w:val="0"/>
      <w:snapToGrid w:val="0"/>
      <w:spacing w:after="0"/>
      <w:outlineLvl w:val="1"/>
    </w:pPr>
    <w:rPr>
      <w:b/>
      <w:sz w:val="32"/>
    </w:rPr>
  </w:style>
  <w:style w:type="paragraph" w:customStyle="1" w:styleId="249">
    <w:name w:val="样式 公正文 + 首行缩进:  2 字符"/>
    <w:basedOn w:val="1"/>
    <w:qFormat/>
    <w:uiPriority w:val="0"/>
    <w:pPr>
      <w:autoSpaceDE w:val="0"/>
      <w:autoSpaceDN w:val="0"/>
      <w:adjustRightInd w:val="0"/>
      <w:snapToGrid w:val="0"/>
      <w:spacing w:line="355" w:lineRule="auto"/>
      <w:ind w:firstLine="560"/>
    </w:pPr>
    <w:rPr>
      <w:rFonts w:ascii="宋体" w:hAnsi="宋体" w:eastAsia="仿宋_GB2312" w:cs="宋体"/>
      <w:sz w:val="28"/>
      <w:szCs w:val="20"/>
    </w:rPr>
  </w:style>
  <w:style w:type="table" w:customStyle="1" w:styleId="250">
    <w:name w:val="典雅型1"/>
    <w:basedOn w:val="50"/>
    <w:qFormat/>
    <w:uiPriority w:val="0"/>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aps/>
        <w:color w:val="auto"/>
      </w:rPr>
      <w:tcPr>
        <w:tcBorders>
          <w:top w:val="nil"/>
          <w:left w:val="nil"/>
          <w:bottom w:val="nil"/>
          <w:right w:val="nil"/>
          <w:insideH w:val="nil"/>
          <w:insideV w:val="nil"/>
          <w:tl2br w:val="nil"/>
          <w:tr2bl w:val="nil"/>
        </w:tcBorders>
      </w:tcPr>
    </w:tblStylePr>
  </w:style>
  <w:style w:type="paragraph" w:customStyle="1" w:styleId="251">
    <w:name w:val="普通段落"/>
    <w:basedOn w:val="1"/>
    <w:link w:val="252"/>
    <w:qFormat/>
    <w:uiPriority w:val="0"/>
    <w:pPr>
      <w:ind w:firstLine="480"/>
    </w:pPr>
    <w:rPr>
      <w:rFonts w:cs="宋体"/>
      <w:szCs w:val="20"/>
    </w:rPr>
  </w:style>
  <w:style w:type="character" w:customStyle="1" w:styleId="252">
    <w:name w:val="普通段落 Char"/>
    <w:link w:val="251"/>
    <w:qFormat/>
    <w:uiPriority w:val="0"/>
    <w:rPr>
      <w:rFonts w:cs="宋体"/>
      <w:kern w:val="2"/>
      <w:sz w:val="24"/>
    </w:rPr>
  </w:style>
  <w:style w:type="paragraph" w:customStyle="1" w:styleId="253">
    <w:name w:val="Char Char2 Char Char Char Char Char Char Char Char Char Char"/>
    <w:basedOn w:val="1"/>
    <w:qFormat/>
    <w:uiPriority w:val="0"/>
    <w:rPr>
      <w:rFonts w:ascii="Tahoma" w:hAnsi="Tahoma"/>
      <w:szCs w:val="20"/>
    </w:rPr>
  </w:style>
  <w:style w:type="character" w:customStyle="1" w:styleId="254">
    <w:name w:val="标题 1 Char Char Char"/>
    <w:link w:val="255"/>
    <w:qFormat/>
    <w:uiPriority w:val="0"/>
    <w:rPr>
      <w:b/>
      <w:bCs/>
      <w:kern w:val="44"/>
      <w:sz w:val="44"/>
      <w:szCs w:val="44"/>
    </w:rPr>
  </w:style>
  <w:style w:type="paragraph" w:customStyle="1" w:styleId="255">
    <w:name w:val="b1"/>
    <w:basedOn w:val="256"/>
    <w:link w:val="254"/>
    <w:qFormat/>
    <w:uiPriority w:val="0"/>
    <w:pPr>
      <w:ind w:firstLine="480"/>
      <w:jc w:val="center"/>
    </w:pPr>
    <w:rPr>
      <w:rFonts w:ascii="Times New Roman" w:hAnsi="Times New Roman"/>
      <w:b/>
      <w:bCs/>
      <w:kern w:val="44"/>
      <w:sz w:val="44"/>
      <w:szCs w:val="44"/>
    </w:rPr>
  </w:style>
  <w:style w:type="paragraph" w:customStyle="1" w:styleId="256">
    <w:name w:val="zw"/>
    <w:basedOn w:val="1"/>
    <w:link w:val="326"/>
    <w:qFormat/>
    <w:uiPriority w:val="0"/>
    <w:pPr>
      <w:widowControl/>
      <w:spacing w:line="500" w:lineRule="exact"/>
    </w:pPr>
    <w:rPr>
      <w:rFonts w:ascii="宋体" w:hAnsi="宋体"/>
      <w:szCs w:val="28"/>
    </w:rPr>
  </w:style>
  <w:style w:type="character" w:customStyle="1" w:styleId="257">
    <w:name w:val="H3 Char"/>
    <w:semiHidden/>
    <w:qFormat/>
    <w:uiPriority w:val="0"/>
    <w:rPr>
      <w:b/>
      <w:bCs/>
      <w:kern w:val="2"/>
      <w:sz w:val="32"/>
      <w:szCs w:val="32"/>
    </w:rPr>
  </w:style>
  <w:style w:type="character" w:customStyle="1" w:styleId="258">
    <w:name w:val="副标题 Char"/>
    <w:link w:val="20"/>
    <w:qFormat/>
    <w:uiPriority w:val="0"/>
    <w:rPr>
      <w:rFonts w:ascii="Cambria" w:hAnsi="Cambria" w:eastAsia="宋体"/>
      <w:b/>
      <w:bCs/>
      <w:kern w:val="28"/>
      <w:sz w:val="32"/>
      <w:szCs w:val="32"/>
      <w:lang w:val="zh-CN" w:eastAsia="zh-CN" w:bidi="ar-SA"/>
    </w:rPr>
  </w:style>
  <w:style w:type="paragraph" w:customStyle="1" w:styleId="259">
    <w:name w:val="Char Char Char3 Char"/>
    <w:basedOn w:val="1"/>
    <w:qFormat/>
    <w:uiPriority w:val="0"/>
    <w:pPr>
      <w:widowControl/>
      <w:spacing w:after="160" w:line="240" w:lineRule="exact"/>
      <w:jc w:val="left"/>
    </w:pPr>
  </w:style>
  <w:style w:type="character" w:customStyle="1" w:styleId="260">
    <w:name w:val="H3 Char1"/>
    <w:qFormat/>
    <w:uiPriority w:val="0"/>
    <w:rPr>
      <w:rFonts w:eastAsia="宋体"/>
      <w:b/>
      <w:bCs/>
      <w:kern w:val="2"/>
      <w:sz w:val="32"/>
      <w:szCs w:val="32"/>
      <w:lang w:val="en-US" w:eastAsia="zh-CN" w:bidi="ar-SA"/>
    </w:rPr>
  </w:style>
  <w:style w:type="character" w:customStyle="1" w:styleId="261">
    <w:name w:val="Char Char21"/>
    <w:qFormat/>
    <w:uiPriority w:val="0"/>
    <w:rPr>
      <w:rFonts w:ascii="等线 Light" w:hAnsi="等线 Light" w:eastAsia="等线 Light" w:cs="Times New Roman"/>
      <w:b/>
      <w:bCs/>
      <w:sz w:val="32"/>
      <w:szCs w:val="32"/>
    </w:rPr>
  </w:style>
  <w:style w:type="character" w:customStyle="1" w:styleId="262">
    <w:name w:val="Char Char20"/>
    <w:qFormat/>
    <w:uiPriority w:val="0"/>
    <w:rPr>
      <w:rFonts w:ascii="Times New Roman" w:hAnsi="Times New Roman" w:eastAsia="宋体"/>
      <w:b/>
      <w:bCs/>
      <w:sz w:val="32"/>
      <w:szCs w:val="32"/>
    </w:rPr>
  </w:style>
  <w:style w:type="paragraph" w:customStyle="1" w:styleId="263">
    <w:name w:val="报告图头"/>
    <w:basedOn w:val="264"/>
    <w:next w:val="1"/>
    <w:link w:val="275"/>
    <w:qFormat/>
    <w:uiPriority w:val="0"/>
    <w:pPr>
      <w:numPr>
        <w:ilvl w:val="5"/>
      </w:numPr>
      <w:tabs>
        <w:tab w:val="left" w:pos="360"/>
      </w:tabs>
      <w:ind w:left="567" w:firstLine="0"/>
    </w:pPr>
  </w:style>
  <w:style w:type="paragraph" w:customStyle="1" w:styleId="264">
    <w:name w:val="报告表头"/>
    <w:basedOn w:val="1"/>
    <w:next w:val="156"/>
    <w:link w:val="274"/>
    <w:qFormat/>
    <w:uiPriority w:val="0"/>
    <w:pPr>
      <w:numPr>
        <w:ilvl w:val="4"/>
        <w:numId w:val="1"/>
      </w:numPr>
      <w:ind w:firstLine="0" w:firstLineChars="0"/>
      <w:jc w:val="center"/>
    </w:pPr>
    <w:rPr>
      <w:b/>
      <w:kern w:val="0"/>
      <w:szCs w:val="20"/>
      <w:lang w:val="zh-CN"/>
    </w:rPr>
  </w:style>
  <w:style w:type="paragraph" w:customStyle="1" w:styleId="265">
    <w:name w:val="报告标1"/>
    <w:basedOn w:val="2"/>
    <w:next w:val="1"/>
    <w:qFormat/>
    <w:uiPriority w:val="0"/>
    <w:pPr>
      <w:numPr>
        <w:ilvl w:val="0"/>
        <w:numId w:val="1"/>
      </w:numPr>
      <w:tabs>
        <w:tab w:val="left" w:pos="360"/>
      </w:tabs>
      <w:spacing w:before="100" w:beforeLines="100" w:after="100" w:afterLines="100" w:line="240" w:lineRule="auto"/>
    </w:pPr>
    <w:rPr>
      <w:b/>
      <w:szCs w:val="36"/>
      <w:lang w:val="zh-CN"/>
    </w:rPr>
  </w:style>
  <w:style w:type="paragraph" w:customStyle="1" w:styleId="266">
    <w:name w:val="报告标2"/>
    <w:basedOn w:val="3"/>
    <w:next w:val="1"/>
    <w:qFormat/>
    <w:uiPriority w:val="0"/>
    <w:pPr>
      <w:numPr>
        <w:ilvl w:val="1"/>
        <w:numId w:val="1"/>
      </w:numPr>
      <w:spacing w:before="240" w:after="240" w:line="240" w:lineRule="auto"/>
      <w:ind w:firstLine="200" w:firstLineChars="200"/>
    </w:pPr>
    <w:rPr>
      <w:rFonts w:eastAsia="宋体"/>
      <w:lang w:val="zh-CN"/>
    </w:rPr>
  </w:style>
  <w:style w:type="paragraph" w:customStyle="1" w:styleId="267">
    <w:name w:val="报告标3"/>
    <w:basedOn w:val="4"/>
    <w:next w:val="1"/>
    <w:qFormat/>
    <w:uiPriority w:val="0"/>
    <w:pPr>
      <w:numPr>
        <w:ilvl w:val="2"/>
        <w:numId w:val="1"/>
      </w:numPr>
      <w:spacing w:before="156" w:beforeLines="50" w:after="156" w:afterLines="50" w:line="240" w:lineRule="auto"/>
      <w:ind w:firstLine="200"/>
    </w:pPr>
    <w:rPr>
      <w:kern w:val="0"/>
      <w:sz w:val="28"/>
      <w:szCs w:val="28"/>
      <w:lang w:val="zh-CN"/>
    </w:rPr>
  </w:style>
  <w:style w:type="paragraph" w:customStyle="1" w:styleId="268">
    <w:name w:val="报告标4"/>
    <w:basedOn w:val="5"/>
    <w:next w:val="1"/>
    <w:qFormat/>
    <w:uiPriority w:val="0"/>
    <w:pPr>
      <w:numPr>
        <w:ilvl w:val="3"/>
        <w:numId w:val="1"/>
      </w:numPr>
      <w:spacing w:before="60" w:after="60"/>
      <w:ind w:firstLine="200" w:firstLineChars="200"/>
    </w:pPr>
    <w:rPr>
      <w:lang w:val="zh-CN"/>
    </w:rPr>
  </w:style>
  <w:style w:type="character" w:customStyle="1" w:styleId="269">
    <w:name w:val="标题 4 Char"/>
    <w:link w:val="5"/>
    <w:qFormat/>
    <w:uiPriority w:val="0"/>
    <w:rPr>
      <w:bCs/>
      <w:kern w:val="2"/>
      <w:sz w:val="24"/>
      <w:szCs w:val="28"/>
    </w:rPr>
  </w:style>
  <w:style w:type="character" w:customStyle="1" w:styleId="270">
    <w:name w:val="Char Char13"/>
    <w:qFormat/>
    <w:uiPriority w:val="0"/>
    <w:rPr>
      <w:rFonts w:ascii="Times New Roman" w:hAnsi="Times New Roman" w:eastAsia="宋体"/>
      <w:sz w:val="18"/>
      <w:szCs w:val="18"/>
    </w:rPr>
  </w:style>
  <w:style w:type="character" w:customStyle="1" w:styleId="271">
    <w:name w:val="Char Char12"/>
    <w:qFormat/>
    <w:uiPriority w:val="0"/>
    <w:rPr>
      <w:rFonts w:ascii="Times New Roman" w:hAnsi="Times New Roman" w:eastAsia="宋体"/>
      <w:sz w:val="18"/>
      <w:szCs w:val="18"/>
    </w:rPr>
  </w:style>
  <w:style w:type="paragraph" w:customStyle="1" w:styleId="272">
    <w:name w:val="报告表格"/>
    <w:basedOn w:val="1"/>
    <w:link w:val="273"/>
    <w:qFormat/>
    <w:uiPriority w:val="0"/>
    <w:pPr>
      <w:widowControl/>
      <w:ind w:firstLine="0" w:firstLineChars="0"/>
      <w:jc w:val="center"/>
    </w:pPr>
    <w:rPr>
      <w:rFonts w:cs="宋体"/>
      <w:color w:val="000000"/>
      <w:sz w:val="21"/>
      <w:szCs w:val="20"/>
    </w:rPr>
  </w:style>
  <w:style w:type="character" w:customStyle="1" w:styleId="273">
    <w:name w:val="报告表格 字符"/>
    <w:link w:val="272"/>
    <w:qFormat/>
    <w:uiPriority w:val="0"/>
    <w:rPr>
      <w:rFonts w:cs="宋体"/>
      <w:color w:val="000000"/>
      <w:kern w:val="2"/>
      <w:sz w:val="21"/>
    </w:rPr>
  </w:style>
  <w:style w:type="character" w:customStyle="1" w:styleId="274">
    <w:name w:val="报告表头 字符"/>
    <w:link w:val="264"/>
    <w:qFormat/>
    <w:uiPriority w:val="0"/>
    <w:rPr>
      <w:b/>
      <w:sz w:val="24"/>
      <w:lang w:val="zh-CN" w:eastAsia="zh-CN"/>
    </w:rPr>
  </w:style>
  <w:style w:type="character" w:customStyle="1" w:styleId="275">
    <w:name w:val="报告图头 字符"/>
    <w:link w:val="263"/>
    <w:qFormat/>
    <w:uiPriority w:val="0"/>
    <w:rPr>
      <w:b/>
      <w:sz w:val="24"/>
      <w:lang w:val="zh-CN" w:eastAsia="zh-CN"/>
    </w:rPr>
  </w:style>
  <w:style w:type="paragraph" w:customStyle="1" w:styleId="276">
    <w:name w:val="Char Char Char3 Char2"/>
    <w:basedOn w:val="1"/>
    <w:qFormat/>
    <w:uiPriority w:val="0"/>
    <w:pPr>
      <w:widowControl/>
      <w:spacing w:after="160" w:line="240" w:lineRule="exact"/>
      <w:jc w:val="left"/>
    </w:pPr>
  </w:style>
  <w:style w:type="paragraph" w:customStyle="1" w:styleId="277">
    <w:name w:val="Char Char7"/>
    <w:basedOn w:val="1"/>
    <w:qFormat/>
    <w:uiPriority w:val="0"/>
    <w:pPr>
      <w:widowControl/>
      <w:spacing w:after="160" w:line="240" w:lineRule="exact"/>
      <w:jc w:val="left"/>
    </w:pPr>
  </w:style>
  <w:style w:type="character" w:customStyle="1" w:styleId="278">
    <w:name w:val="Placeholder Text"/>
    <w:semiHidden/>
    <w:qFormat/>
    <w:uiPriority w:val="99"/>
    <w:rPr>
      <w:color w:val="808080"/>
    </w:rPr>
  </w:style>
  <w:style w:type="character" w:customStyle="1" w:styleId="279">
    <w:name w:val="标题 5 Char"/>
    <w:link w:val="6"/>
    <w:qFormat/>
    <w:uiPriority w:val="0"/>
    <w:rPr>
      <w:rFonts w:eastAsia="宋体"/>
      <w:b/>
      <w:sz w:val="28"/>
      <w:lang w:val="en-US" w:eastAsia="zh-CN" w:bidi="ar-SA"/>
    </w:rPr>
  </w:style>
  <w:style w:type="character" w:customStyle="1" w:styleId="280">
    <w:name w:val="标题 6 Char"/>
    <w:link w:val="7"/>
    <w:qFormat/>
    <w:uiPriority w:val="0"/>
    <w:rPr>
      <w:rFonts w:ascii="Arial" w:hAnsi="Arial" w:eastAsia="黑体"/>
      <w:b/>
      <w:bCs/>
      <w:sz w:val="28"/>
      <w:szCs w:val="24"/>
      <w:lang w:val="en-US" w:eastAsia="zh-CN" w:bidi="ar-SA"/>
    </w:rPr>
  </w:style>
  <w:style w:type="character" w:customStyle="1" w:styleId="281">
    <w:name w:val="标题 7 Char"/>
    <w:link w:val="8"/>
    <w:qFormat/>
    <w:uiPriority w:val="0"/>
    <w:rPr>
      <w:rFonts w:eastAsia="宋体"/>
      <w:b/>
      <w:bCs/>
      <w:sz w:val="28"/>
      <w:szCs w:val="24"/>
      <w:lang w:val="en-US" w:eastAsia="zh-CN" w:bidi="ar-SA"/>
    </w:rPr>
  </w:style>
  <w:style w:type="character" w:customStyle="1" w:styleId="282">
    <w:name w:val="标题 8 Char"/>
    <w:link w:val="9"/>
    <w:qFormat/>
    <w:uiPriority w:val="0"/>
    <w:rPr>
      <w:rFonts w:ascii="Arial" w:hAnsi="Arial" w:eastAsia="黑体"/>
      <w:sz w:val="28"/>
      <w:szCs w:val="24"/>
      <w:lang w:val="en-US" w:eastAsia="zh-CN" w:bidi="ar-SA"/>
    </w:rPr>
  </w:style>
  <w:style w:type="character" w:customStyle="1" w:styleId="283">
    <w:name w:val="标题 9 Char"/>
    <w:link w:val="10"/>
    <w:qFormat/>
    <w:uiPriority w:val="0"/>
    <w:rPr>
      <w:rFonts w:ascii="Arial" w:hAnsi="Arial" w:eastAsia="黑体"/>
      <w:sz w:val="28"/>
      <w:szCs w:val="21"/>
      <w:lang w:val="en-US" w:eastAsia="zh-CN" w:bidi="ar-SA"/>
    </w:rPr>
  </w:style>
  <w:style w:type="character" w:customStyle="1" w:styleId="284">
    <w:name w:val="标题 3 Char"/>
    <w:qFormat/>
    <w:uiPriority w:val="0"/>
    <w:rPr>
      <w:rFonts w:eastAsia="宋体"/>
      <w:b/>
      <w:bCs/>
      <w:kern w:val="2"/>
      <w:sz w:val="32"/>
      <w:szCs w:val="32"/>
      <w:lang w:val="en-US" w:eastAsia="zh-CN" w:bidi="ar-SA"/>
    </w:rPr>
  </w:style>
  <w:style w:type="character" w:customStyle="1" w:styleId="285">
    <w:name w:val="正文文本缩进 字符"/>
    <w:semiHidden/>
    <w:qFormat/>
    <w:uiPriority w:val="0"/>
    <w:rPr>
      <w:rFonts w:ascii="Times New Roman" w:hAnsi="Times New Roman" w:eastAsia="宋体" w:cs="Times New Roman"/>
      <w:sz w:val="24"/>
      <w:szCs w:val="20"/>
    </w:rPr>
  </w:style>
  <w:style w:type="character" w:customStyle="1" w:styleId="286">
    <w:name w:val="Char Char101"/>
    <w:qFormat/>
    <w:uiPriority w:val="0"/>
    <w:rPr>
      <w:rFonts w:eastAsia="宋体"/>
      <w:kern w:val="2"/>
      <w:sz w:val="21"/>
      <w:szCs w:val="24"/>
      <w:lang w:val="en-US" w:eastAsia="zh-CN" w:bidi="ar-SA"/>
    </w:rPr>
  </w:style>
  <w:style w:type="character" w:customStyle="1" w:styleId="287">
    <w:name w:val="正文文本 字符"/>
    <w:semiHidden/>
    <w:qFormat/>
    <w:uiPriority w:val="0"/>
    <w:rPr>
      <w:rFonts w:ascii="Times New Roman" w:hAnsi="Times New Roman" w:eastAsia="宋体" w:cs="Times New Roman"/>
      <w:sz w:val="24"/>
      <w:szCs w:val="20"/>
    </w:rPr>
  </w:style>
  <w:style w:type="character" w:customStyle="1" w:styleId="288">
    <w:name w:val="纯文本 字符"/>
    <w:semiHidden/>
    <w:qFormat/>
    <w:uiPriority w:val="0"/>
    <w:rPr>
      <w:rFonts w:ascii="等线" w:hAnsi="Courier New" w:cs="Courier New"/>
      <w:sz w:val="24"/>
      <w:szCs w:val="20"/>
    </w:rPr>
  </w:style>
  <w:style w:type="character" w:customStyle="1" w:styleId="289">
    <w:name w:val="文档结构图 字符"/>
    <w:semiHidden/>
    <w:qFormat/>
    <w:uiPriority w:val="0"/>
    <w:rPr>
      <w:rFonts w:ascii="Microsoft YaHei UI" w:hAnsi="Times New Roman" w:eastAsia="Microsoft YaHei UI" w:cs="Times New Roman"/>
      <w:sz w:val="18"/>
      <w:szCs w:val="18"/>
    </w:rPr>
  </w:style>
  <w:style w:type="character" w:customStyle="1" w:styleId="290">
    <w:name w:val="页脚 Char"/>
    <w:qFormat/>
    <w:uiPriority w:val="99"/>
    <w:rPr>
      <w:rFonts w:eastAsia="宋体"/>
      <w:kern w:val="2"/>
      <w:sz w:val="18"/>
      <w:szCs w:val="18"/>
      <w:lang w:val="en-US" w:eastAsia="zh-CN" w:bidi="ar-SA"/>
    </w:rPr>
  </w:style>
  <w:style w:type="character" w:customStyle="1" w:styleId="291">
    <w:name w:val="页眉 Char"/>
    <w:qFormat/>
    <w:uiPriority w:val="99"/>
    <w:rPr>
      <w:kern w:val="2"/>
      <w:sz w:val="18"/>
      <w:szCs w:val="18"/>
    </w:rPr>
  </w:style>
  <w:style w:type="paragraph" w:customStyle="1" w:styleId="292">
    <w:name w:val="Char Char Char Char Char Char Char Char Char Char Char Char Char Char Char Char Char Char Char Char Char Char Char Char2 Char1"/>
    <w:basedOn w:val="1"/>
    <w:qFormat/>
    <w:uiPriority w:val="0"/>
    <w:pPr>
      <w:widowControl/>
      <w:spacing w:after="160" w:line="240" w:lineRule="exact"/>
      <w:jc w:val="center"/>
    </w:pPr>
    <w:rPr>
      <w:rFonts w:ascii="黑体" w:hAnsi="Verdana" w:eastAsia="黑体"/>
      <w:kern w:val="0"/>
      <w:sz w:val="32"/>
      <w:szCs w:val="32"/>
      <w:lang w:eastAsia="en-US"/>
    </w:rPr>
  </w:style>
  <w:style w:type="paragraph" w:customStyle="1" w:styleId="293">
    <w:name w:val="设计室正文"/>
    <w:basedOn w:val="1"/>
    <w:link w:val="294"/>
    <w:qFormat/>
    <w:uiPriority w:val="0"/>
    <w:pPr>
      <w:spacing w:line="500" w:lineRule="exact"/>
    </w:pPr>
    <w:rPr>
      <w:rFonts w:ascii="宋体" w:hAnsi="宋体" w:cs="宋体"/>
    </w:rPr>
  </w:style>
  <w:style w:type="character" w:customStyle="1" w:styleId="294">
    <w:name w:val="设计室正文 Char"/>
    <w:basedOn w:val="55"/>
    <w:link w:val="293"/>
    <w:qFormat/>
    <w:uiPriority w:val="0"/>
    <w:rPr>
      <w:rFonts w:ascii="宋体" w:hAnsi="宋体" w:cs="宋体"/>
      <w:kern w:val="2"/>
      <w:sz w:val="24"/>
      <w:szCs w:val="24"/>
    </w:rPr>
  </w:style>
  <w:style w:type="paragraph" w:customStyle="1" w:styleId="295">
    <w:name w:val="msonormal"/>
    <w:basedOn w:val="1"/>
    <w:qFormat/>
    <w:uiPriority w:val="0"/>
    <w:pPr>
      <w:widowControl/>
      <w:spacing w:before="100" w:beforeAutospacing="1" w:after="100" w:afterAutospacing="1"/>
      <w:jc w:val="left"/>
    </w:pPr>
    <w:rPr>
      <w:rFonts w:ascii="宋体" w:hAnsi="宋体" w:cs="宋体"/>
      <w:kern w:val="0"/>
    </w:rPr>
  </w:style>
  <w:style w:type="paragraph" w:customStyle="1" w:styleId="296">
    <w:name w:val="font5"/>
    <w:basedOn w:val="1"/>
    <w:qFormat/>
    <w:uiPriority w:val="0"/>
    <w:pPr>
      <w:widowControl/>
      <w:spacing w:before="100" w:beforeAutospacing="1" w:after="100" w:afterAutospacing="1"/>
      <w:jc w:val="left"/>
    </w:pPr>
    <w:rPr>
      <w:rFonts w:ascii="等线" w:hAnsi="等线" w:eastAsia="等线" w:cs="宋体"/>
      <w:kern w:val="0"/>
      <w:sz w:val="18"/>
      <w:szCs w:val="18"/>
    </w:rPr>
  </w:style>
  <w:style w:type="paragraph" w:customStyle="1" w:styleId="297">
    <w:name w:val="xl63"/>
    <w:basedOn w:val="1"/>
    <w:qFormat/>
    <w:uiPriority w:val="0"/>
    <w:pPr>
      <w:widowControl/>
      <w:spacing w:before="100" w:beforeAutospacing="1" w:after="100" w:afterAutospacing="1"/>
      <w:jc w:val="center"/>
      <w:textAlignment w:val="center"/>
    </w:pPr>
    <w:rPr>
      <w:kern w:val="0"/>
    </w:rPr>
  </w:style>
  <w:style w:type="paragraph" w:customStyle="1" w:styleId="298">
    <w:name w:val="xl64"/>
    <w:basedOn w:val="1"/>
    <w:qFormat/>
    <w:uiPriority w:val="0"/>
    <w:pPr>
      <w:widowControl/>
      <w:spacing w:before="100" w:beforeAutospacing="1" w:after="100" w:afterAutospacing="1"/>
      <w:jc w:val="center"/>
      <w:textAlignment w:val="center"/>
    </w:pPr>
    <w:rPr>
      <w:color w:val="FF0000"/>
      <w:kern w:val="0"/>
    </w:rPr>
  </w:style>
  <w:style w:type="paragraph" w:customStyle="1" w:styleId="299">
    <w:name w:val="xl65"/>
    <w:basedOn w:val="1"/>
    <w:qFormat/>
    <w:uiPriority w:val="0"/>
    <w:pPr>
      <w:widowControl/>
      <w:spacing w:before="100" w:beforeAutospacing="1" w:after="100" w:afterAutospacing="1"/>
      <w:jc w:val="center"/>
      <w:textAlignment w:val="center"/>
    </w:pPr>
    <w:rPr>
      <w:color w:val="FF0000"/>
      <w:kern w:val="0"/>
    </w:rPr>
  </w:style>
  <w:style w:type="paragraph" w:customStyle="1" w:styleId="300">
    <w:name w:val="xl66"/>
    <w:basedOn w:val="1"/>
    <w:qFormat/>
    <w:uiPriority w:val="0"/>
    <w:pPr>
      <w:widowControl/>
      <w:spacing w:before="100" w:beforeAutospacing="1" w:after="100" w:afterAutospacing="1"/>
      <w:jc w:val="center"/>
      <w:textAlignment w:val="center"/>
    </w:pPr>
    <w:rPr>
      <w:rFonts w:ascii="宋体" w:hAnsi="宋体" w:cs="宋体"/>
      <w:color w:val="FF0000"/>
      <w:kern w:val="0"/>
    </w:rPr>
  </w:style>
  <w:style w:type="paragraph" w:customStyle="1" w:styleId="301">
    <w:name w:val="xl67"/>
    <w:basedOn w:val="1"/>
    <w:qFormat/>
    <w:uiPriority w:val="0"/>
    <w:pPr>
      <w:widowControl/>
      <w:spacing w:before="100" w:beforeAutospacing="1" w:after="100" w:afterAutospacing="1"/>
      <w:jc w:val="center"/>
      <w:textAlignment w:val="center"/>
    </w:pPr>
    <w:rPr>
      <w:color w:val="FF0000"/>
      <w:kern w:val="0"/>
    </w:rPr>
  </w:style>
  <w:style w:type="paragraph" w:customStyle="1" w:styleId="302">
    <w:name w:val="xl68"/>
    <w:basedOn w:val="1"/>
    <w:qFormat/>
    <w:uiPriority w:val="0"/>
    <w:pPr>
      <w:widowControl/>
      <w:spacing w:before="100" w:beforeAutospacing="1" w:after="100" w:afterAutospacing="1"/>
      <w:jc w:val="center"/>
      <w:textAlignment w:val="center"/>
    </w:pPr>
    <w:rPr>
      <w:rFonts w:ascii="宋体" w:hAnsi="宋体" w:cs="宋体"/>
      <w:color w:val="FF0000"/>
      <w:kern w:val="0"/>
    </w:rPr>
  </w:style>
  <w:style w:type="paragraph" w:customStyle="1" w:styleId="303">
    <w:name w:val="font0"/>
    <w:basedOn w:val="1"/>
    <w:qFormat/>
    <w:uiPriority w:val="0"/>
    <w:pPr>
      <w:widowControl/>
      <w:spacing w:before="100" w:beforeAutospacing="1" w:after="100" w:afterAutospacing="1"/>
      <w:jc w:val="left"/>
    </w:pPr>
    <w:rPr>
      <w:rFonts w:hint="eastAsia" w:ascii="宋体" w:hAnsi="宋体"/>
      <w:kern w:val="0"/>
    </w:rPr>
  </w:style>
  <w:style w:type="paragraph" w:customStyle="1" w:styleId="304">
    <w:name w:val="xl26"/>
    <w:basedOn w:val="1"/>
    <w:qFormat/>
    <w:uiPriority w:val="0"/>
    <w:pPr>
      <w:widowControl/>
      <w:spacing w:before="100" w:beforeAutospacing="1" w:after="100" w:afterAutospacing="1"/>
      <w:jc w:val="center"/>
      <w:textAlignment w:val="center"/>
    </w:pPr>
    <w:rPr>
      <w:rFonts w:ascii="Arial Unicode MS" w:hAnsi="Arial Unicode MS" w:eastAsia="Arial Unicode MS"/>
      <w:kern w:val="0"/>
    </w:rPr>
  </w:style>
  <w:style w:type="paragraph" w:customStyle="1" w:styleId="305">
    <w:name w:val="5"/>
    <w:qFormat/>
    <w:uiPriority w:val="99"/>
    <w:rPr>
      <w:rFonts w:ascii="Times New Roman" w:hAnsi="Times New Roman" w:eastAsia="宋体" w:cs="Times New Roman"/>
      <w:lang w:val="en-US" w:eastAsia="zh-CN" w:bidi="ar-SA"/>
    </w:rPr>
  </w:style>
  <w:style w:type="paragraph" w:customStyle="1" w:styleId="306">
    <w:name w:val="xl33"/>
    <w:basedOn w:val="1"/>
    <w:qFormat/>
    <w:uiPriority w:val="0"/>
    <w:pPr>
      <w:widowControl/>
      <w:spacing w:before="100" w:beforeAutospacing="1" w:after="100" w:afterAutospacing="1"/>
      <w:jc w:val="center"/>
    </w:pPr>
    <w:rPr>
      <w:rFonts w:hint="eastAsia" w:ascii="黑体" w:hAnsi="宋体" w:eastAsia="黑体"/>
      <w:kern w:val="0"/>
    </w:rPr>
  </w:style>
  <w:style w:type="character" w:customStyle="1" w:styleId="307">
    <w:name w:val="批注文字 Char"/>
    <w:basedOn w:val="55"/>
    <w:link w:val="17"/>
    <w:qFormat/>
    <w:uiPriority w:val="0"/>
    <w:rPr>
      <w:kern w:val="2"/>
      <w:sz w:val="21"/>
      <w:lang w:val="zh-CN" w:eastAsia="zh-CN"/>
    </w:rPr>
  </w:style>
  <w:style w:type="character" w:customStyle="1" w:styleId="308">
    <w:name w:val="批注主题 Char"/>
    <w:basedOn w:val="307"/>
    <w:link w:val="45"/>
    <w:qFormat/>
    <w:uiPriority w:val="0"/>
    <w:rPr>
      <w:b/>
      <w:bCs/>
      <w:kern w:val="2"/>
      <w:sz w:val="21"/>
      <w:lang w:val="zh-CN" w:eastAsia="zh-CN"/>
    </w:rPr>
  </w:style>
  <w:style w:type="paragraph" w:customStyle="1" w:styleId="309">
    <w:name w:val="4"/>
    <w:basedOn w:val="1"/>
    <w:next w:val="12"/>
    <w:qFormat/>
    <w:uiPriority w:val="0"/>
    <w:pPr>
      <w:ind w:firstLine="420"/>
    </w:pPr>
    <w:rPr>
      <w:rFonts w:ascii="宋体" w:hAnsi="宋体"/>
      <w:sz w:val="28"/>
    </w:rPr>
  </w:style>
  <w:style w:type="paragraph" w:customStyle="1" w:styleId="310">
    <w:name w:val="2"/>
    <w:basedOn w:val="1"/>
    <w:next w:val="12"/>
    <w:qFormat/>
    <w:uiPriority w:val="0"/>
    <w:pPr>
      <w:ind w:firstLine="420"/>
    </w:pPr>
    <w:rPr>
      <w:rFonts w:ascii="宋体" w:hAnsi="宋体"/>
      <w:sz w:val="28"/>
    </w:rPr>
  </w:style>
  <w:style w:type="paragraph" w:customStyle="1" w:styleId="311">
    <w:name w:val="1"/>
    <w:basedOn w:val="1"/>
    <w:next w:val="22"/>
    <w:qFormat/>
    <w:uiPriority w:val="0"/>
    <w:pPr>
      <w:ind w:firstLine="617" w:firstLineChars="257"/>
    </w:pPr>
    <w:rPr>
      <w:szCs w:val="20"/>
    </w:rPr>
  </w:style>
  <w:style w:type="paragraph" w:customStyle="1" w:styleId="312">
    <w:name w:val="样式2"/>
    <w:next w:val="3"/>
    <w:qFormat/>
    <w:uiPriority w:val="0"/>
    <w:pPr>
      <w:spacing w:before="60" w:after="60" w:line="360" w:lineRule="auto"/>
    </w:pPr>
    <w:rPr>
      <w:rFonts w:ascii="Arial" w:hAnsi="Arial" w:eastAsia="黑体" w:cs="Times New Roman"/>
      <w:b/>
      <w:bCs/>
      <w:kern w:val="2"/>
      <w:sz w:val="24"/>
      <w:szCs w:val="24"/>
      <w:lang w:val="en-US" w:eastAsia="zh-CN" w:bidi="ar-SA"/>
    </w:rPr>
  </w:style>
  <w:style w:type="paragraph" w:customStyle="1" w:styleId="313">
    <w:name w:val="样式 标题 3 + 黑体 段前: 5 磅 段后: 5 磅 行距: 1.5 倍行距"/>
    <w:basedOn w:val="4"/>
    <w:qFormat/>
    <w:uiPriority w:val="0"/>
    <w:pPr>
      <w:spacing w:before="100" w:after="100" w:line="360" w:lineRule="auto"/>
    </w:pPr>
    <w:rPr>
      <w:rFonts w:ascii="Arial" w:hAnsi="Arial" w:eastAsia="黑体" w:cs="Arial"/>
      <w:bCs w:val="0"/>
      <w:sz w:val="28"/>
      <w:szCs w:val="28"/>
    </w:rPr>
  </w:style>
  <w:style w:type="paragraph" w:customStyle="1" w:styleId="314">
    <w:name w:val="正文1 Char Char"/>
    <w:basedOn w:val="1"/>
    <w:link w:val="315"/>
    <w:qFormat/>
    <w:uiPriority w:val="0"/>
    <w:pPr>
      <w:adjustRightInd w:val="0"/>
      <w:ind w:firstLine="358" w:firstLineChars="157"/>
      <w:jc w:val="left"/>
      <w:textAlignment w:val="baseline"/>
    </w:pPr>
    <w:rPr>
      <w:rFonts w:ascii="宋体" w:hAnsi="宋体" w:cs="宋体"/>
      <w:spacing w:val="-6"/>
      <w:lang w:val="zh-CN"/>
    </w:rPr>
  </w:style>
  <w:style w:type="character" w:customStyle="1" w:styleId="315">
    <w:name w:val="正文1 Char Char Char"/>
    <w:basedOn w:val="55"/>
    <w:link w:val="314"/>
    <w:qFormat/>
    <w:uiPriority w:val="0"/>
    <w:rPr>
      <w:rFonts w:ascii="宋体" w:hAnsi="宋体" w:cs="宋体"/>
      <w:spacing w:val="-6"/>
      <w:kern w:val="2"/>
      <w:sz w:val="24"/>
      <w:szCs w:val="24"/>
      <w:lang w:val="zh-CN"/>
    </w:rPr>
  </w:style>
  <w:style w:type="paragraph" w:customStyle="1" w:styleId="316">
    <w:name w:val="正文1 Char Char Char Char Char Char"/>
    <w:basedOn w:val="1"/>
    <w:link w:val="317"/>
    <w:qFormat/>
    <w:uiPriority w:val="0"/>
    <w:pPr>
      <w:adjustRightInd w:val="0"/>
      <w:ind w:firstLine="420"/>
      <w:textAlignment w:val="baseline"/>
    </w:pPr>
    <w:rPr>
      <w:rFonts w:ascii="宋体" w:hAnsi="宋体" w:cs="宋体"/>
      <w:spacing w:val="-6"/>
    </w:rPr>
  </w:style>
  <w:style w:type="character" w:customStyle="1" w:styleId="317">
    <w:name w:val="正文1 Char Char Char Char Char Char Char"/>
    <w:basedOn w:val="55"/>
    <w:link w:val="316"/>
    <w:qFormat/>
    <w:uiPriority w:val="0"/>
    <w:rPr>
      <w:rFonts w:ascii="宋体" w:hAnsi="宋体" w:cs="宋体"/>
      <w:spacing w:val="-6"/>
      <w:kern w:val="2"/>
      <w:sz w:val="24"/>
      <w:szCs w:val="24"/>
    </w:rPr>
  </w:style>
  <w:style w:type="paragraph" w:customStyle="1" w:styleId="318">
    <w:name w:val="正文2"/>
    <w:basedOn w:val="1"/>
    <w:link w:val="319"/>
    <w:qFormat/>
    <w:uiPriority w:val="0"/>
    <w:pPr>
      <w:ind w:firstLine="560"/>
    </w:pPr>
    <w:rPr>
      <w:rFonts w:ascii="宋体" w:hAnsi="宋体"/>
      <w:color w:val="000000"/>
      <w:sz w:val="28"/>
      <w:szCs w:val="28"/>
    </w:rPr>
  </w:style>
  <w:style w:type="character" w:customStyle="1" w:styleId="319">
    <w:name w:val="正文 Char"/>
    <w:basedOn w:val="55"/>
    <w:link w:val="318"/>
    <w:qFormat/>
    <w:uiPriority w:val="0"/>
    <w:rPr>
      <w:rFonts w:ascii="宋体" w:hAnsi="宋体"/>
      <w:color w:val="000000"/>
      <w:kern w:val="2"/>
      <w:sz w:val="28"/>
      <w:szCs w:val="28"/>
    </w:rPr>
  </w:style>
  <w:style w:type="paragraph" w:customStyle="1" w:styleId="320">
    <w:name w:val="Char2"/>
    <w:basedOn w:val="1"/>
    <w:qFormat/>
    <w:uiPriority w:val="0"/>
    <w:rPr>
      <w:rFonts w:ascii="Tahoma" w:hAnsi="Tahoma"/>
      <w:szCs w:val="20"/>
    </w:rPr>
  </w:style>
  <w:style w:type="paragraph" w:customStyle="1" w:styleId="321">
    <w:name w:val="标题 1.1"/>
    <w:basedOn w:val="3"/>
    <w:next w:val="4"/>
    <w:qFormat/>
    <w:uiPriority w:val="0"/>
    <w:pPr>
      <w:tabs>
        <w:tab w:val="left" w:pos="360"/>
      </w:tabs>
      <w:spacing w:before="60" w:after="60" w:line="240" w:lineRule="auto"/>
    </w:pPr>
    <w:rPr>
      <w:rFonts w:ascii="宋体" w:eastAsia="宋体"/>
      <w:szCs w:val="28"/>
    </w:rPr>
  </w:style>
  <w:style w:type="paragraph" w:customStyle="1" w:styleId="322">
    <w:name w:val="标题1.1.1"/>
    <w:basedOn w:val="4"/>
    <w:next w:val="5"/>
    <w:qFormat/>
    <w:uiPriority w:val="0"/>
    <w:pPr>
      <w:tabs>
        <w:tab w:val="left" w:pos="360"/>
      </w:tabs>
      <w:spacing w:before="0" w:after="0" w:line="240" w:lineRule="auto"/>
    </w:pPr>
    <w:rPr>
      <w:rFonts w:ascii="宋体"/>
      <w:sz w:val="28"/>
      <w:szCs w:val="24"/>
    </w:rPr>
  </w:style>
  <w:style w:type="paragraph" w:customStyle="1" w:styleId="323">
    <w:name w:val="样式 标题1 + 行距: 1.5 倍行距"/>
    <w:basedOn w:val="201"/>
    <w:qFormat/>
    <w:uiPriority w:val="0"/>
    <w:pPr>
      <w:keepNext/>
      <w:keepLines/>
      <w:tabs>
        <w:tab w:val="left" w:pos="0"/>
      </w:tabs>
      <w:spacing w:before="120"/>
      <w:ind w:left="431" w:hanging="431"/>
      <w:jc w:val="left"/>
      <w:outlineLvl w:val="0"/>
    </w:pPr>
    <w:rPr>
      <w:rFonts w:ascii="宋体" w:cs="宋体"/>
      <w:b/>
      <w:bCs/>
      <w:kern w:val="44"/>
      <w:sz w:val="30"/>
    </w:rPr>
  </w:style>
  <w:style w:type="paragraph" w:customStyle="1" w:styleId="324">
    <w:name w:val="CM7"/>
    <w:basedOn w:val="1"/>
    <w:next w:val="1"/>
    <w:qFormat/>
    <w:uiPriority w:val="0"/>
    <w:pPr>
      <w:autoSpaceDE w:val="0"/>
      <w:autoSpaceDN w:val="0"/>
      <w:adjustRightInd w:val="0"/>
      <w:spacing w:line="500" w:lineRule="atLeast"/>
      <w:jc w:val="left"/>
    </w:pPr>
    <w:rPr>
      <w:rFonts w:ascii="宋体"/>
      <w:kern w:val="0"/>
    </w:rPr>
  </w:style>
  <w:style w:type="character" w:customStyle="1" w:styleId="325">
    <w:name w:val="表格 Char"/>
    <w:basedOn w:val="55"/>
    <w:link w:val="185"/>
    <w:qFormat/>
    <w:uiPriority w:val="0"/>
    <w:rPr>
      <w:bCs/>
      <w:kern w:val="2"/>
      <w:sz w:val="21"/>
      <w:szCs w:val="21"/>
    </w:rPr>
  </w:style>
  <w:style w:type="character" w:customStyle="1" w:styleId="326">
    <w:name w:val="zw Char"/>
    <w:basedOn w:val="55"/>
    <w:link w:val="256"/>
    <w:qFormat/>
    <w:uiPriority w:val="0"/>
    <w:rPr>
      <w:rFonts w:ascii="宋体" w:hAnsi="宋体"/>
      <w:kern w:val="2"/>
      <w:sz w:val="24"/>
      <w:szCs w:val="28"/>
    </w:rPr>
  </w:style>
  <w:style w:type="paragraph" w:customStyle="1" w:styleId="327">
    <w:name w:val="bt2"/>
    <w:basedOn w:val="256"/>
    <w:next w:val="45"/>
    <w:link w:val="328"/>
    <w:qFormat/>
    <w:uiPriority w:val="0"/>
    <w:pPr>
      <w:spacing w:beforeLines="50" w:afterLines="50" w:line="360" w:lineRule="auto"/>
      <w:ind w:firstLine="0" w:firstLineChars="0"/>
      <w:jc w:val="left"/>
      <w:outlineLvl w:val="1"/>
    </w:pPr>
    <w:rPr>
      <w:rFonts w:ascii="黑体" w:hAnsi="黑体" w:eastAsia="黑体" w:cs="黑体"/>
      <w:szCs w:val="24"/>
    </w:rPr>
  </w:style>
  <w:style w:type="character" w:customStyle="1" w:styleId="328">
    <w:name w:val="bt2 Char"/>
    <w:basedOn w:val="55"/>
    <w:link w:val="327"/>
    <w:qFormat/>
    <w:uiPriority w:val="0"/>
    <w:rPr>
      <w:rFonts w:ascii="黑体" w:hAnsi="黑体" w:eastAsia="黑体" w:cs="黑体"/>
      <w:kern w:val="2"/>
      <w:sz w:val="24"/>
      <w:szCs w:val="24"/>
    </w:rPr>
  </w:style>
  <w:style w:type="paragraph" w:customStyle="1" w:styleId="329">
    <w:name w:val="bt3"/>
    <w:basedOn w:val="327"/>
    <w:link w:val="330"/>
    <w:qFormat/>
    <w:uiPriority w:val="0"/>
    <w:pPr>
      <w:spacing w:afterLines="0"/>
      <w:outlineLvl w:val="2"/>
    </w:pPr>
  </w:style>
  <w:style w:type="character" w:customStyle="1" w:styleId="330">
    <w:name w:val="bt3 Char"/>
    <w:basedOn w:val="328"/>
    <w:link w:val="329"/>
    <w:qFormat/>
    <w:uiPriority w:val="0"/>
    <w:rPr>
      <w:rFonts w:ascii="黑体" w:hAnsi="黑体" w:eastAsia="黑体" w:cs="黑体"/>
      <w:kern w:val="2"/>
      <w:sz w:val="24"/>
      <w:szCs w:val="24"/>
    </w:rPr>
  </w:style>
  <w:style w:type="character" w:customStyle="1" w:styleId="331">
    <w:name w:val="标题 Char"/>
    <w:basedOn w:val="55"/>
    <w:link w:val="44"/>
    <w:qFormat/>
    <w:uiPriority w:val="0"/>
    <w:rPr>
      <w:rFonts w:ascii="Arial" w:hAnsi="Arial"/>
      <w:b/>
      <w:bCs/>
      <w:kern w:val="2"/>
      <w:sz w:val="32"/>
      <w:szCs w:val="32"/>
      <w:lang w:val="zh-CN" w:eastAsia="zh-CN"/>
    </w:rPr>
  </w:style>
  <w:style w:type="paragraph" w:customStyle="1" w:styleId="332">
    <w:name w:val="图"/>
    <w:basedOn w:val="5"/>
    <w:qFormat/>
    <w:uiPriority w:val="0"/>
    <w:pPr>
      <w:widowControl/>
      <w:tabs>
        <w:tab w:val="left" w:pos="851"/>
      </w:tabs>
      <w:ind w:left="851" w:hanging="851"/>
      <w:jc w:val="center"/>
    </w:pPr>
    <w:rPr>
      <w:lang w:val="zh-CN"/>
    </w:rPr>
  </w:style>
  <w:style w:type="paragraph" w:customStyle="1" w:styleId="333">
    <w:name w:val="表头1"/>
    <w:basedOn w:val="233"/>
    <w:link w:val="334"/>
    <w:qFormat/>
    <w:uiPriority w:val="0"/>
    <w:pPr>
      <w:overflowPunct w:val="0"/>
      <w:topLinePunct/>
      <w:spacing w:beforeLines="0" w:line="360" w:lineRule="auto"/>
      <w:ind w:firstLine="0" w:firstLineChars="0"/>
      <w:outlineLvl w:val="9"/>
    </w:pPr>
    <w:rPr>
      <w:rFonts w:ascii="Times New Roman" w:hAnsi="Times New Roman"/>
      <w:sz w:val="21"/>
      <w:szCs w:val="28"/>
      <w:lang w:val="zh-CN"/>
    </w:rPr>
  </w:style>
  <w:style w:type="character" w:customStyle="1" w:styleId="334">
    <w:name w:val="表头1 Char"/>
    <w:link w:val="333"/>
    <w:qFormat/>
    <w:uiPriority w:val="0"/>
    <w:rPr>
      <w:rFonts w:eastAsia="黑体"/>
      <w:kern w:val="2"/>
      <w:sz w:val="21"/>
      <w:szCs w:val="28"/>
      <w:lang w:val="zh-CN" w:eastAsia="zh-CN"/>
    </w:rPr>
  </w:style>
  <w:style w:type="paragraph" w:customStyle="1" w:styleId="335">
    <w:name w:val="33"/>
    <w:basedOn w:val="1"/>
    <w:link w:val="350"/>
    <w:qFormat/>
    <w:uiPriority w:val="0"/>
    <w:pPr>
      <w:spacing w:before="50" w:beforeLines="50" w:after="50" w:afterLines="50"/>
      <w:ind w:firstLine="0" w:firstLineChars="0"/>
      <w:jc w:val="left"/>
      <w:outlineLvl w:val="2"/>
    </w:pPr>
    <w:rPr>
      <w:rFonts w:eastAsia="黑体"/>
      <w:szCs w:val="20"/>
      <w:lang w:val="zh-CN"/>
    </w:rPr>
  </w:style>
  <w:style w:type="paragraph" w:customStyle="1" w:styleId="336">
    <w:name w:val="Char4"/>
    <w:basedOn w:val="1"/>
    <w:qFormat/>
    <w:uiPriority w:val="0"/>
    <w:rPr>
      <w:rFonts w:ascii="Tahoma" w:hAnsi="Tahoma"/>
      <w:szCs w:val="20"/>
    </w:rPr>
  </w:style>
  <w:style w:type="character" w:customStyle="1" w:styleId="337">
    <w:name w:val="结束语 Char"/>
    <w:basedOn w:val="55"/>
    <w:link w:val="19"/>
    <w:qFormat/>
    <w:uiPriority w:val="0"/>
    <w:rPr>
      <w:rFonts w:ascii="Arial" w:hAnsi="Arial" w:eastAsia="华文楷体" w:cs="Arial"/>
      <w:b/>
      <w:bCs/>
      <w:kern w:val="28"/>
      <w:sz w:val="40"/>
      <w:szCs w:val="40"/>
    </w:rPr>
  </w:style>
  <w:style w:type="paragraph" w:customStyle="1" w:styleId="338">
    <w:name w:val="Char3"/>
    <w:basedOn w:val="1"/>
    <w:qFormat/>
    <w:uiPriority w:val="0"/>
    <w:rPr>
      <w:rFonts w:ascii="Tahoma" w:hAnsi="Tahoma"/>
      <w:szCs w:val="20"/>
    </w:rPr>
  </w:style>
  <w:style w:type="paragraph" w:customStyle="1" w:styleId="339">
    <w:name w:val="Char1 Char Char Char Char Char Char Char Char Char Char Char Char Char Char Char"/>
    <w:basedOn w:val="1"/>
    <w:qFormat/>
    <w:uiPriority w:val="0"/>
    <w:rPr>
      <w:rFonts w:ascii="宋体" w:hAnsi="宋体" w:cs="宋体"/>
    </w:rPr>
  </w:style>
  <w:style w:type="paragraph" w:customStyle="1" w:styleId="340">
    <w:name w:val="xl24"/>
    <w:basedOn w:val="1"/>
    <w:qFormat/>
    <w:uiPriority w:val="0"/>
    <w:pPr>
      <w:widowControl/>
      <w:spacing w:before="100" w:beforeAutospacing="1" w:after="100" w:afterAutospacing="1"/>
      <w:jc w:val="center"/>
      <w:textAlignment w:val="center"/>
    </w:pPr>
    <w:rPr>
      <w:rFonts w:ascii="宋体" w:hAnsi="宋体"/>
      <w:kern w:val="0"/>
      <w:szCs w:val="20"/>
    </w:rPr>
  </w:style>
  <w:style w:type="character" w:customStyle="1" w:styleId="341">
    <w:name w:val="正文1 Char Char Char Char"/>
    <w:basedOn w:val="55"/>
    <w:qFormat/>
    <w:uiPriority w:val="0"/>
    <w:rPr>
      <w:rFonts w:ascii="宋体" w:hAnsi="宋体" w:eastAsia="宋体"/>
      <w:color w:val="000000"/>
      <w:sz w:val="28"/>
      <w:szCs w:val="28"/>
      <w:lang w:val="zh-CN" w:eastAsia="zh-CN" w:bidi="ar-SA"/>
    </w:rPr>
  </w:style>
  <w:style w:type="paragraph" w:customStyle="1" w:styleId="342">
    <w:name w:val="样式 行距: 1.5 倍行距"/>
    <w:basedOn w:val="1"/>
    <w:qFormat/>
    <w:uiPriority w:val="0"/>
    <w:pPr>
      <w:ind w:firstLine="420"/>
    </w:pPr>
    <w:rPr>
      <w:rFonts w:cs="宋体"/>
      <w:szCs w:val="20"/>
    </w:rPr>
  </w:style>
  <w:style w:type="paragraph" w:customStyle="1" w:styleId="343">
    <w:name w:val="Char11"/>
    <w:basedOn w:val="1"/>
    <w:semiHidden/>
    <w:qFormat/>
    <w:uiPriority w:val="0"/>
  </w:style>
  <w:style w:type="paragraph" w:customStyle="1" w:styleId="344">
    <w:name w:val="Char Char Char Char Char Char1 Char1"/>
    <w:basedOn w:val="1"/>
    <w:qFormat/>
    <w:uiPriority w:val="0"/>
    <w:rPr>
      <w:rFonts w:ascii="Tahoma" w:hAnsi="Tahoma"/>
      <w:szCs w:val="20"/>
    </w:rPr>
  </w:style>
  <w:style w:type="paragraph" w:customStyle="1" w:styleId="345">
    <w:name w:val="Char Char Char Char Char Char Char Char Char Char Char Char Char Char Char Char1"/>
    <w:basedOn w:val="1"/>
    <w:qFormat/>
    <w:uiPriority w:val="0"/>
    <w:rPr>
      <w:rFonts w:ascii="Tahoma" w:hAnsi="Tahoma"/>
      <w:kern w:val="0"/>
      <w:sz w:val="28"/>
      <w:szCs w:val="20"/>
    </w:rPr>
  </w:style>
  <w:style w:type="paragraph" w:customStyle="1" w:styleId="346">
    <w:name w:val="Char12"/>
    <w:basedOn w:val="1"/>
    <w:semiHidden/>
    <w:qFormat/>
    <w:uiPriority w:val="0"/>
  </w:style>
  <w:style w:type="paragraph" w:customStyle="1" w:styleId="347">
    <w:name w:val="Char13"/>
    <w:basedOn w:val="1"/>
    <w:semiHidden/>
    <w:qFormat/>
    <w:uiPriority w:val="0"/>
  </w:style>
  <w:style w:type="paragraph" w:customStyle="1" w:styleId="348">
    <w:name w:val="Char3 Char Char Char Char Char Char"/>
    <w:basedOn w:val="1"/>
    <w:qFormat/>
    <w:uiPriority w:val="0"/>
    <w:rPr>
      <w:rFonts w:ascii="宋体" w:hAnsi="宋体" w:cs="宋体"/>
    </w:rPr>
  </w:style>
  <w:style w:type="paragraph" w:customStyle="1" w:styleId="349">
    <w:name w:val="Char5"/>
    <w:basedOn w:val="1"/>
    <w:qFormat/>
    <w:uiPriority w:val="0"/>
    <w:rPr>
      <w:rFonts w:ascii="Tahoma" w:hAnsi="Tahoma"/>
      <w:szCs w:val="20"/>
    </w:rPr>
  </w:style>
  <w:style w:type="character" w:customStyle="1" w:styleId="350">
    <w:name w:val="33 Char"/>
    <w:link w:val="335"/>
    <w:qFormat/>
    <w:uiPriority w:val="0"/>
    <w:rPr>
      <w:rFonts w:eastAsia="黑体"/>
      <w:kern w:val="2"/>
      <w:sz w:val="24"/>
      <w:lang w:val="zh-CN" w:eastAsia="zh-CN"/>
    </w:rPr>
  </w:style>
  <w:style w:type="paragraph" w:customStyle="1" w:styleId="351">
    <w:name w:val="表格文字"/>
    <w:basedOn w:val="1"/>
    <w:qFormat/>
    <w:uiPriority w:val="0"/>
    <w:pPr>
      <w:tabs>
        <w:tab w:val="left" w:pos="-2848"/>
      </w:tabs>
      <w:jc w:val="center"/>
    </w:pPr>
    <w:rPr>
      <w:position w:val="-10"/>
      <w:szCs w:val="20"/>
    </w:rPr>
  </w:style>
  <w:style w:type="paragraph" w:customStyle="1" w:styleId="352">
    <w:name w:val="表格标题"/>
    <w:basedOn w:val="1"/>
    <w:qFormat/>
    <w:uiPriority w:val="0"/>
    <w:pPr>
      <w:spacing w:before="60" w:line="420" w:lineRule="exact"/>
      <w:jc w:val="center"/>
    </w:pPr>
    <w:rPr>
      <w:szCs w:val="20"/>
    </w:rPr>
  </w:style>
  <w:style w:type="paragraph" w:customStyle="1" w:styleId="353">
    <w:name w:val="表格001"/>
    <w:basedOn w:val="1"/>
    <w:qFormat/>
    <w:uiPriority w:val="0"/>
    <w:pPr>
      <w:jc w:val="center"/>
    </w:pPr>
    <w:rPr>
      <w:szCs w:val="20"/>
    </w:rPr>
  </w:style>
  <w:style w:type="paragraph" w:customStyle="1" w:styleId="354">
    <w:name w:val="报告书表格"/>
    <w:basedOn w:val="1"/>
    <w:qFormat/>
    <w:uiPriority w:val="0"/>
    <w:pPr>
      <w:adjustRightInd w:val="0"/>
      <w:spacing w:before="60" w:after="60" w:line="240" w:lineRule="atLeast"/>
      <w:jc w:val="center"/>
      <w:textAlignment w:val="baseline"/>
    </w:pPr>
    <w:rPr>
      <w:kern w:val="0"/>
      <w:szCs w:val="20"/>
    </w:rPr>
  </w:style>
  <w:style w:type="paragraph" w:customStyle="1" w:styleId="355">
    <w:name w:val="表中文字"/>
    <w:basedOn w:val="1"/>
    <w:qFormat/>
    <w:uiPriority w:val="0"/>
    <w:pPr>
      <w:adjustRightInd w:val="0"/>
      <w:spacing w:beforeLines="10" w:afterLines="10"/>
      <w:jc w:val="center"/>
      <w:textAlignment w:val="baseline"/>
    </w:pPr>
    <w:rPr>
      <w:kern w:val="0"/>
      <w:szCs w:val="20"/>
    </w:rPr>
  </w:style>
  <w:style w:type="paragraph" w:customStyle="1" w:styleId="356">
    <w:name w:val="Char Char Char3 Char1"/>
    <w:basedOn w:val="1"/>
    <w:qFormat/>
    <w:uiPriority w:val="0"/>
    <w:pPr>
      <w:widowControl/>
      <w:spacing w:after="160" w:line="240" w:lineRule="exact"/>
      <w:jc w:val="left"/>
    </w:pPr>
  </w:style>
  <w:style w:type="character" w:customStyle="1" w:styleId="357">
    <w:name w:val="正文文本缩进 2 Char"/>
    <w:link w:val="28"/>
    <w:qFormat/>
    <w:uiPriority w:val="0"/>
    <w:rPr>
      <w:kern w:val="2"/>
      <w:sz w:val="21"/>
      <w:szCs w:val="24"/>
    </w:rPr>
  </w:style>
  <w:style w:type="character" w:customStyle="1" w:styleId="358">
    <w:name w:val="正文文本缩进 3 Char"/>
    <w:link w:val="36"/>
    <w:qFormat/>
    <w:uiPriority w:val="0"/>
    <w:rPr>
      <w:kern w:val="2"/>
      <w:sz w:val="16"/>
      <w:szCs w:val="16"/>
    </w:rPr>
  </w:style>
  <w:style w:type="character" w:customStyle="1" w:styleId="359">
    <w:name w:val="日期 Char"/>
    <w:link w:val="27"/>
    <w:qFormat/>
    <w:uiPriority w:val="0"/>
    <w:rPr>
      <w:kern w:val="2"/>
      <w:sz w:val="21"/>
      <w:szCs w:val="24"/>
    </w:rPr>
  </w:style>
  <w:style w:type="character" w:customStyle="1" w:styleId="360">
    <w:name w:val="正文文本 2 Char"/>
    <w:link w:val="40"/>
    <w:qFormat/>
    <w:uiPriority w:val="0"/>
    <w:rPr>
      <w:kern w:val="2"/>
      <w:sz w:val="21"/>
      <w:szCs w:val="24"/>
    </w:rPr>
  </w:style>
  <w:style w:type="character" w:customStyle="1" w:styleId="361">
    <w:name w:val="批注框文本 Char"/>
    <w:link w:val="29"/>
    <w:semiHidden/>
    <w:qFormat/>
    <w:uiPriority w:val="0"/>
    <w:rPr>
      <w:kern w:val="2"/>
      <w:sz w:val="18"/>
      <w:szCs w:val="18"/>
    </w:rPr>
  </w:style>
  <w:style w:type="paragraph" w:customStyle="1" w:styleId="362">
    <w:name w:val="修订1"/>
    <w:hidden/>
    <w:semiHidden/>
    <w:qFormat/>
    <w:uiPriority w:val="99"/>
    <w:rPr>
      <w:rFonts w:ascii="Times New Roman" w:hAnsi="Times New Roman" w:eastAsia="宋体" w:cs="Times New Roman"/>
      <w:kern w:val="2"/>
      <w:sz w:val="21"/>
      <w:lang w:val="en-US" w:eastAsia="zh-CN" w:bidi="ar-SA"/>
    </w:rPr>
  </w:style>
  <w:style w:type="paragraph" w:customStyle="1" w:styleId="363">
    <w:name w:val="xl34"/>
    <w:basedOn w:val="1"/>
    <w:qFormat/>
    <w:uiPriority w:val="0"/>
    <w:pPr>
      <w:widowControl/>
      <w:spacing w:before="100" w:after="100"/>
      <w:jc w:val="center"/>
    </w:pPr>
    <w:rPr>
      <w:rFonts w:eastAsia="Arial Unicode MS"/>
      <w:kern w:val="0"/>
      <w:sz w:val="28"/>
      <w:szCs w:val="20"/>
    </w:rPr>
  </w:style>
  <w:style w:type="paragraph" w:customStyle="1" w:styleId="364">
    <w:name w:val="Char21"/>
    <w:basedOn w:val="1"/>
    <w:next w:val="21"/>
    <w:qFormat/>
    <w:uiPriority w:val="0"/>
    <w:pPr>
      <w:jc w:val="center"/>
    </w:pPr>
    <w:rPr>
      <w:rFonts w:ascii="宋体" w:hAnsi="宋体" w:cs="宋体"/>
      <w:b/>
      <w:sz w:val="30"/>
      <w:szCs w:val="30"/>
    </w:rPr>
  </w:style>
  <w:style w:type="paragraph" w:customStyle="1" w:styleId="365">
    <w:name w:val="样式 标题 1标题 1 Char1标题 1 Char Char章标题 1-*+h11st levelSection...1"/>
    <w:basedOn w:val="6"/>
    <w:qFormat/>
    <w:uiPriority w:val="0"/>
    <w:pPr>
      <w:tabs>
        <w:tab w:val="clear" w:pos="1008"/>
      </w:tabs>
      <w:adjustRightInd/>
      <w:spacing w:line="500" w:lineRule="exact"/>
      <w:ind w:left="0" w:firstLine="0"/>
      <w:jc w:val="left"/>
    </w:pPr>
    <w:rPr>
      <w:rFonts w:eastAsia="黑体" w:cs="宋体"/>
      <w:b w:val="0"/>
      <w:kern w:val="2"/>
    </w:rPr>
  </w:style>
  <w:style w:type="character" w:customStyle="1" w:styleId="366">
    <w:name w:val="设计室三级标题 Char"/>
    <w:basedOn w:val="55"/>
    <w:link w:val="367"/>
    <w:qFormat/>
    <w:uiPriority w:val="0"/>
    <w:rPr>
      <w:rFonts w:ascii="黑体" w:hAnsi="黑体" w:eastAsia="黑体"/>
      <w:bCs/>
      <w:kern w:val="2"/>
      <w:sz w:val="24"/>
      <w:szCs w:val="32"/>
    </w:rPr>
  </w:style>
  <w:style w:type="paragraph" w:customStyle="1" w:styleId="367">
    <w:name w:val="设计室三级标题"/>
    <w:basedOn w:val="4"/>
    <w:link w:val="366"/>
    <w:qFormat/>
    <w:uiPriority w:val="0"/>
    <w:pPr>
      <w:spacing w:before="120" w:after="120" w:line="240" w:lineRule="auto"/>
      <w:jc w:val="left"/>
    </w:pPr>
    <w:rPr>
      <w:rFonts w:ascii="黑体" w:hAnsi="黑体" w:eastAsia="黑体"/>
      <w:b w:val="0"/>
      <w:sz w:val="24"/>
    </w:rPr>
  </w:style>
  <w:style w:type="paragraph" w:customStyle="1" w:styleId="368">
    <w:name w:val="设计室二级标题"/>
    <w:basedOn w:val="3"/>
    <w:link w:val="369"/>
    <w:qFormat/>
    <w:uiPriority w:val="0"/>
    <w:pPr>
      <w:spacing w:line="413" w:lineRule="auto"/>
      <w:jc w:val="left"/>
    </w:pPr>
    <w:rPr>
      <w:rFonts w:ascii="黑体" w:hAnsi="黑体"/>
      <w:b/>
      <w:sz w:val="24"/>
    </w:rPr>
  </w:style>
  <w:style w:type="character" w:customStyle="1" w:styleId="369">
    <w:name w:val="设计室二级标题 Char"/>
    <w:basedOn w:val="55"/>
    <w:link w:val="368"/>
    <w:qFormat/>
    <w:uiPriority w:val="0"/>
    <w:rPr>
      <w:rFonts w:ascii="黑体" w:hAnsi="黑体" w:eastAsia="黑体"/>
      <w:bCs/>
      <w:kern w:val="2"/>
      <w:sz w:val="24"/>
      <w:szCs w:val="32"/>
    </w:rPr>
  </w:style>
  <w:style w:type="character" w:customStyle="1" w:styleId="370">
    <w:name w:val="设计室表格字体 Char"/>
    <w:basedOn w:val="55"/>
    <w:link w:val="371"/>
    <w:qFormat/>
    <w:uiPriority w:val="0"/>
    <w:rPr>
      <w:rFonts w:ascii="宋体" w:hAnsi="宋体" w:cs="宋体"/>
      <w:sz w:val="21"/>
      <w:szCs w:val="21"/>
    </w:rPr>
  </w:style>
  <w:style w:type="paragraph" w:customStyle="1" w:styleId="371">
    <w:name w:val="设计室表格字体"/>
    <w:basedOn w:val="1"/>
    <w:link w:val="370"/>
    <w:qFormat/>
    <w:uiPriority w:val="0"/>
    <w:pPr>
      <w:widowControl/>
      <w:jc w:val="center"/>
    </w:pPr>
    <w:rPr>
      <w:rFonts w:ascii="宋体" w:hAnsi="宋体" w:cs="宋体"/>
      <w:kern w:val="0"/>
      <w:szCs w:val="21"/>
    </w:rPr>
  </w:style>
  <w:style w:type="character" w:customStyle="1" w:styleId="372">
    <w:name w:val="设计室表头Z Char"/>
    <w:basedOn w:val="55"/>
    <w:link w:val="373"/>
    <w:qFormat/>
    <w:uiPriority w:val="0"/>
    <w:rPr>
      <w:rFonts w:ascii="宋体" w:hAnsi="宋体" w:eastAsia="黑体"/>
      <w:color w:val="000000"/>
      <w:kern w:val="2"/>
      <w:sz w:val="24"/>
      <w:szCs w:val="24"/>
    </w:rPr>
  </w:style>
  <w:style w:type="paragraph" w:customStyle="1" w:styleId="373">
    <w:name w:val="设计室表头Z"/>
    <w:basedOn w:val="1"/>
    <w:link w:val="372"/>
    <w:qFormat/>
    <w:uiPriority w:val="0"/>
    <w:pPr>
      <w:snapToGrid w:val="0"/>
      <w:ind w:firstLine="560"/>
      <w:jc w:val="center"/>
    </w:pPr>
    <w:rPr>
      <w:rFonts w:ascii="宋体" w:hAnsi="宋体" w:eastAsia="黑体"/>
      <w:color w:val="000000"/>
    </w:rPr>
  </w:style>
  <w:style w:type="paragraph" w:customStyle="1" w:styleId="374">
    <w:name w:val="设计室一级标题"/>
    <w:basedOn w:val="2"/>
    <w:link w:val="375"/>
    <w:qFormat/>
    <w:uiPriority w:val="0"/>
    <w:pPr>
      <w:spacing w:line="576" w:lineRule="auto"/>
    </w:pPr>
    <w:rPr>
      <w:rFonts w:ascii="黑体" w:hAnsi="黑体"/>
      <w:b/>
      <w:sz w:val="24"/>
    </w:rPr>
  </w:style>
  <w:style w:type="character" w:customStyle="1" w:styleId="375">
    <w:name w:val="设计室一级标题 Char"/>
    <w:basedOn w:val="55"/>
    <w:link w:val="374"/>
    <w:qFormat/>
    <w:uiPriority w:val="0"/>
    <w:rPr>
      <w:rFonts w:ascii="黑体" w:hAnsi="黑体" w:eastAsia="黑体"/>
      <w:bCs/>
      <w:kern w:val="44"/>
      <w:sz w:val="24"/>
      <w:szCs w:val="44"/>
    </w:rPr>
  </w:style>
  <w:style w:type="paragraph" w:customStyle="1" w:styleId="376">
    <w:name w:val="列出段落1"/>
    <w:basedOn w:val="1"/>
    <w:qFormat/>
    <w:uiPriority w:val="34"/>
    <w:pPr>
      <w:ind w:firstLine="420"/>
    </w:pPr>
  </w:style>
  <w:style w:type="paragraph" w:customStyle="1" w:styleId="377">
    <w:name w:val="设计室四级标题"/>
    <w:basedOn w:val="5"/>
    <w:qFormat/>
    <w:uiPriority w:val="0"/>
    <w:pPr>
      <w:spacing w:before="120" w:after="120" w:line="240" w:lineRule="auto"/>
      <w:jc w:val="left"/>
    </w:pPr>
    <w:rPr>
      <w:rFonts w:ascii="黑体" w:hAnsi="黑体"/>
      <w:b/>
    </w:rPr>
  </w:style>
  <w:style w:type="paragraph" w:customStyle="1" w:styleId="378">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2E75B6" w:themeColor="accent1" w:themeShade="BF"/>
      <w:kern w:val="0"/>
      <w:sz w:val="28"/>
      <w:szCs w:val="28"/>
    </w:rPr>
  </w:style>
  <w:style w:type="character" w:customStyle="1" w:styleId="379">
    <w:name w:val="font21"/>
    <w:basedOn w:val="55"/>
    <w:qFormat/>
    <w:uiPriority w:val="0"/>
    <w:rPr>
      <w:rFonts w:hint="eastAsia" w:ascii="宋体" w:hAnsi="宋体" w:eastAsia="宋体"/>
      <w:color w:val="000000"/>
      <w:sz w:val="21"/>
      <w:szCs w:val="21"/>
      <w:u w:val="none"/>
    </w:rPr>
  </w:style>
  <w:style w:type="paragraph" w:customStyle="1" w:styleId="380">
    <w:name w:val="font6"/>
    <w:basedOn w:val="1"/>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381">
    <w:name w:val="font7"/>
    <w:basedOn w:val="1"/>
    <w:qFormat/>
    <w:uiPriority w:val="0"/>
    <w:pPr>
      <w:widowControl/>
      <w:spacing w:before="100" w:beforeAutospacing="1" w:after="100" w:afterAutospacing="1"/>
      <w:jc w:val="left"/>
    </w:pPr>
    <w:rPr>
      <w:color w:val="000000"/>
      <w:kern w:val="0"/>
    </w:rPr>
  </w:style>
  <w:style w:type="paragraph" w:customStyle="1" w:styleId="382">
    <w:name w:val="font8"/>
    <w:basedOn w:val="1"/>
    <w:qFormat/>
    <w:uiPriority w:val="0"/>
    <w:pPr>
      <w:widowControl/>
      <w:spacing w:before="100" w:beforeAutospacing="1" w:after="100" w:afterAutospacing="1"/>
      <w:jc w:val="left"/>
    </w:pPr>
    <w:rPr>
      <w:color w:val="000000"/>
      <w:kern w:val="0"/>
    </w:rPr>
  </w:style>
  <w:style w:type="paragraph" w:customStyle="1" w:styleId="383">
    <w:name w:val="No Spacing"/>
    <w:qFormat/>
    <w:uiPriority w:val="1"/>
    <w:pPr>
      <w:widowControl w:val="0"/>
      <w:ind w:firstLine="200" w:firstLineChars="200"/>
      <w:jc w:val="both"/>
    </w:pPr>
    <w:rPr>
      <w:rFonts w:ascii="Times New Roman" w:hAnsi="Times New Roman" w:eastAsia="宋体" w:cs="Times New Roman"/>
      <w:kern w:val="2"/>
      <w:sz w:val="24"/>
      <w:szCs w:val="24"/>
      <w:lang w:val="en-US" w:eastAsia="zh-CN" w:bidi="ar-SA"/>
    </w:rPr>
  </w:style>
  <w:style w:type="paragraph" w:customStyle="1" w:styleId="384">
    <w:name w:val="xl69"/>
    <w:basedOn w:val="1"/>
    <w:qFormat/>
    <w:uiPriority w:val="0"/>
    <w:pPr>
      <w:widowControl/>
      <w:spacing w:before="100" w:beforeAutospacing="1" w:after="100" w:afterAutospacing="1" w:line="240" w:lineRule="auto"/>
      <w:ind w:firstLine="0" w:firstLineChars="0"/>
      <w:jc w:val="center"/>
      <w:textAlignment w:val="center"/>
    </w:pPr>
    <w:rPr>
      <w:color w:val="FF0000"/>
      <w:kern w:val="0"/>
    </w:rPr>
  </w:style>
  <w:style w:type="paragraph" w:customStyle="1" w:styleId="385">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rPr>
  </w:style>
  <w:style w:type="paragraph" w:customStyle="1" w:styleId="386">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kern w:val="0"/>
    </w:rPr>
  </w:style>
  <w:style w:type="paragraph" w:customStyle="1" w:styleId="387">
    <w:name w:val="xl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kern w:val="0"/>
    </w:rPr>
  </w:style>
  <w:style w:type="paragraph" w:customStyle="1" w:styleId="388">
    <w:name w:val="xl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color w:val="FF0000"/>
      <w:kern w:val="0"/>
    </w:rPr>
  </w:style>
  <w:style w:type="paragraph" w:customStyle="1" w:styleId="389">
    <w:name w:val="xl74"/>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ind w:firstLine="0" w:firstLineChars="0"/>
      <w:jc w:val="center"/>
      <w:textAlignment w:val="center"/>
    </w:pPr>
    <w:rPr>
      <w:kern w:val="0"/>
    </w:rPr>
  </w:style>
  <w:style w:type="paragraph" w:customStyle="1" w:styleId="390">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color w:val="FF0000"/>
      <w:kern w:val="0"/>
    </w:rPr>
  </w:style>
  <w:style w:type="paragraph" w:customStyle="1" w:styleId="391">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color w:val="FF0000"/>
      <w:kern w:val="0"/>
    </w:rPr>
  </w:style>
  <w:style w:type="paragraph" w:customStyle="1" w:styleId="392">
    <w:name w:val="xl77"/>
    <w:basedOn w:val="1"/>
    <w:qFormat/>
    <w:uiPriority w:val="0"/>
    <w:pPr>
      <w:widowControl/>
      <w:spacing w:before="100" w:beforeAutospacing="1" w:after="100" w:afterAutospacing="1" w:line="240" w:lineRule="auto"/>
      <w:ind w:firstLine="0" w:firstLineChars="0"/>
      <w:jc w:val="center"/>
      <w:textAlignment w:val="center"/>
    </w:pPr>
    <w:rPr>
      <w:rFonts w:ascii="宋体" w:hAnsi="宋体" w:cs="宋体"/>
      <w:kern w:val="0"/>
    </w:rPr>
  </w:style>
  <w:style w:type="paragraph" w:customStyle="1" w:styleId="393">
    <w:name w:val="xl78"/>
    <w:basedOn w:val="1"/>
    <w:qFormat/>
    <w:uiPriority w:val="0"/>
    <w:pPr>
      <w:widowControl/>
      <w:spacing w:before="100" w:beforeAutospacing="1" w:after="100" w:afterAutospacing="1" w:line="240" w:lineRule="auto"/>
      <w:ind w:firstLine="0" w:firstLineChars="0"/>
      <w:jc w:val="center"/>
      <w:textAlignment w:val="center"/>
    </w:pPr>
    <w:rPr>
      <w:rFonts w:ascii="宋体" w:hAnsi="宋体" w:cs="宋体"/>
      <w:kern w:val="0"/>
    </w:rPr>
  </w:style>
  <w:style w:type="paragraph" w:customStyle="1" w:styleId="394">
    <w:name w:val="xl79"/>
    <w:basedOn w:val="1"/>
    <w:qFormat/>
    <w:uiPriority w:val="0"/>
    <w:pPr>
      <w:widowControl/>
      <w:pBdr>
        <w:left w:val="single" w:color="auto" w:sz="4" w:space="0"/>
      </w:pBdr>
      <w:spacing w:before="100" w:beforeAutospacing="1" w:after="100" w:afterAutospacing="1" w:line="240" w:lineRule="auto"/>
      <w:ind w:firstLine="0" w:firstLineChars="0"/>
      <w:jc w:val="center"/>
      <w:textAlignment w:val="center"/>
    </w:pPr>
    <w:rPr>
      <w:rFonts w:ascii="宋体" w:hAnsi="宋体" w:cs="宋体"/>
      <w:kern w:val="0"/>
    </w:rPr>
  </w:style>
  <w:style w:type="paragraph" w:customStyle="1" w:styleId="395">
    <w:name w:val="xl80"/>
    <w:basedOn w:val="1"/>
    <w:qFormat/>
    <w:uiPriority w:val="0"/>
    <w:pPr>
      <w:widowControl/>
      <w:spacing w:before="100" w:beforeAutospacing="1" w:after="100" w:afterAutospacing="1" w:line="240" w:lineRule="auto"/>
      <w:ind w:firstLine="0" w:firstLineChars="0"/>
      <w:jc w:val="center"/>
      <w:textAlignment w:val="center"/>
    </w:pPr>
    <w:rPr>
      <w:rFonts w:ascii="宋体" w:hAnsi="宋体" w:cs="宋体"/>
      <w:kern w:val="0"/>
    </w:rPr>
  </w:style>
  <w:style w:type="paragraph" w:customStyle="1" w:styleId="396">
    <w:name w:val="xl81"/>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1"/>
      <w:szCs w:val="21"/>
    </w:rPr>
  </w:style>
  <w:style w:type="paragraph" w:customStyle="1" w:styleId="397">
    <w:name w:val="xl82"/>
    <w:basedOn w:val="1"/>
    <w:qFormat/>
    <w:uiPriority w:val="0"/>
    <w:pPr>
      <w:widowControl/>
      <w:pBdr>
        <w:left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1"/>
      <w:szCs w:val="21"/>
    </w:rPr>
  </w:style>
  <w:style w:type="paragraph" w:customStyle="1" w:styleId="398">
    <w:name w:val="xl83"/>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color w:val="000000"/>
      <w:kern w:val="0"/>
      <w:sz w:val="21"/>
      <w:szCs w:val="21"/>
    </w:rPr>
  </w:style>
  <w:style w:type="paragraph" w:customStyle="1" w:styleId="399">
    <w:name w:val="xl84"/>
    <w:basedOn w:val="1"/>
    <w:qFormat/>
    <w:uiPriority w:val="0"/>
    <w:pPr>
      <w:widowControl/>
      <w:pBdr>
        <w:top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color w:val="000000"/>
      <w:kern w:val="0"/>
      <w:sz w:val="21"/>
      <w:szCs w:val="21"/>
    </w:rPr>
  </w:style>
  <w:style w:type="paragraph" w:customStyle="1" w:styleId="400">
    <w:name w:val="xl85"/>
    <w:basedOn w:val="1"/>
    <w:qFormat/>
    <w:uiPriority w:val="0"/>
    <w:pPr>
      <w:widowControl/>
      <w:pBdr>
        <w:left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color w:val="000000"/>
      <w:kern w:val="0"/>
      <w:sz w:val="21"/>
      <w:szCs w:val="21"/>
    </w:rPr>
  </w:style>
  <w:style w:type="paragraph" w:customStyle="1" w:styleId="401">
    <w:name w:val="xl86"/>
    <w:basedOn w:val="1"/>
    <w:qFormat/>
    <w:uiPriority w:val="0"/>
    <w:pPr>
      <w:widowControl/>
      <w:pBdr>
        <w:bottom w:val="single" w:color="auto" w:sz="8" w:space="0"/>
        <w:right w:val="single" w:color="auto" w:sz="8" w:space="0"/>
      </w:pBdr>
      <w:spacing w:before="100" w:beforeAutospacing="1" w:after="100" w:afterAutospacing="1" w:line="240" w:lineRule="auto"/>
      <w:ind w:firstLine="0" w:firstLineChars="0"/>
      <w:jc w:val="center"/>
      <w:textAlignment w:val="center"/>
    </w:pPr>
    <w:rPr>
      <w:color w:val="000000"/>
      <w:kern w:val="0"/>
      <w:sz w:val="21"/>
      <w:szCs w:val="21"/>
    </w:rPr>
  </w:style>
  <w:style w:type="paragraph" w:customStyle="1" w:styleId="402">
    <w:name w:val="xl87"/>
    <w:basedOn w:val="1"/>
    <w:qFormat/>
    <w:uiPriority w:val="0"/>
    <w:pPr>
      <w:widowControl/>
      <w:pBdr>
        <w:left w:val="single" w:color="auto" w:sz="4" w:space="0"/>
      </w:pBdr>
      <w:spacing w:before="100" w:beforeAutospacing="1" w:after="100" w:afterAutospacing="1" w:line="240" w:lineRule="auto"/>
      <w:ind w:firstLine="0" w:firstLineChars="0"/>
      <w:jc w:val="center"/>
      <w:textAlignment w:val="center"/>
    </w:pPr>
    <w:rPr>
      <w:rFonts w:ascii="宋体" w:hAnsi="宋体" w:cs="宋体"/>
      <w:kern w:val="0"/>
    </w:rPr>
  </w:style>
  <w:style w:type="character" w:customStyle="1" w:styleId="403">
    <w:name w:val="zhenwen141"/>
    <w:basedOn w:val="55"/>
    <w:qFormat/>
    <w:uiPriority w:val="0"/>
    <w:rPr>
      <w:rFonts w:hint="default" w:ascii="ˎ̥" w:hAnsi="ˎ̥"/>
      <w:sz w:val="21"/>
      <w:szCs w:val="21"/>
    </w:rPr>
  </w:style>
  <w:style w:type="character" w:customStyle="1" w:styleId="404">
    <w:name w:val="正文文本 (2)_"/>
    <w:basedOn w:val="55"/>
    <w:link w:val="405"/>
    <w:qFormat/>
    <w:locked/>
    <w:uiPriority w:val="99"/>
    <w:rPr>
      <w:rFonts w:ascii="MingLiU" w:eastAsia="MingLiU" w:cs="MingLiU"/>
      <w:sz w:val="22"/>
      <w:szCs w:val="22"/>
      <w:shd w:val="clear" w:color="auto" w:fill="FFFFFF"/>
    </w:rPr>
  </w:style>
  <w:style w:type="paragraph" w:customStyle="1" w:styleId="405">
    <w:name w:val="正文文本 (2)1"/>
    <w:basedOn w:val="1"/>
    <w:link w:val="404"/>
    <w:qFormat/>
    <w:uiPriority w:val="99"/>
    <w:pPr>
      <w:shd w:val="clear" w:color="auto" w:fill="FFFFFF"/>
      <w:spacing w:before="420" w:line="499" w:lineRule="exact"/>
      <w:ind w:firstLine="0" w:firstLineChars="0"/>
      <w:jc w:val="distribute"/>
    </w:pPr>
    <w:rPr>
      <w:rFonts w:ascii="MingLiU" w:eastAsia="MingLiU" w:cs="MingLiU"/>
      <w:kern w:val="0"/>
      <w:sz w:val="22"/>
      <w:szCs w:val="22"/>
    </w:rPr>
  </w:style>
  <w:style w:type="paragraph" w:customStyle="1" w:styleId="406">
    <w:name w:val="xl39"/>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kern w:val="0"/>
      <w:sz w:val="22"/>
      <w:szCs w:val="22"/>
    </w:rPr>
  </w:style>
  <w:style w:type="character" w:customStyle="1" w:styleId="407">
    <w:name w:val="样式1 字符"/>
    <w:basedOn w:val="55"/>
    <w:link w:val="190"/>
    <w:qFormat/>
    <w:uiPriority w:val="0"/>
    <w:rPr>
      <w:rFonts w:ascii="仿宋_GB2312" w:eastAsia="仿宋_GB2312"/>
      <w:kern w:val="2"/>
      <w:sz w:val="28"/>
      <w:szCs w:val="28"/>
    </w:rPr>
  </w:style>
  <w:style w:type="paragraph" w:customStyle="1" w:styleId="408">
    <w:name w:val="表格五号"/>
    <w:next w:val="1"/>
    <w:qFormat/>
    <w:uiPriority w:val="0"/>
    <w:pPr>
      <w:spacing w:line="360" w:lineRule="auto"/>
      <w:jc w:val="center"/>
    </w:pPr>
    <w:rPr>
      <w:rFonts w:ascii="Times New Roman" w:hAnsi="Times New Roman" w:eastAsia="黑体" w:cs="Times New Roman"/>
      <w:kern w:val="2"/>
      <w:sz w:val="24"/>
      <w:szCs w:val="24"/>
      <w:lang w:val="en-US" w:eastAsia="zh-CN" w:bidi="ar-SA"/>
    </w:rPr>
  </w:style>
  <w:style w:type="character" w:customStyle="1" w:styleId="409">
    <w:name w:val="正文文本缩进 Char1"/>
    <w:basedOn w:val="55"/>
    <w:semiHidden/>
    <w:qFormat/>
    <w:uiPriority w:val="99"/>
    <w:rPr>
      <w:kern w:val="2"/>
      <w:sz w:val="24"/>
      <w:szCs w:val="24"/>
    </w:rPr>
  </w:style>
  <w:style w:type="character" w:customStyle="1" w:styleId="410">
    <w:name w:val="正文文本 Char2"/>
    <w:basedOn w:val="55"/>
    <w:semiHidden/>
    <w:qFormat/>
    <w:uiPriority w:val="99"/>
    <w:rPr>
      <w:kern w:val="2"/>
      <w:sz w:val="24"/>
      <w:szCs w:val="24"/>
    </w:rPr>
  </w:style>
  <w:style w:type="character" w:customStyle="1" w:styleId="411">
    <w:name w:val="文档结构图 Char1"/>
    <w:basedOn w:val="55"/>
    <w:semiHidden/>
    <w:qFormat/>
    <w:uiPriority w:val="99"/>
    <w:rPr>
      <w:rFonts w:ascii="宋体"/>
      <w:kern w:val="2"/>
      <w:sz w:val="18"/>
      <w:szCs w:val="18"/>
    </w:rPr>
  </w:style>
  <w:style w:type="character" w:customStyle="1" w:styleId="412">
    <w:name w:val="正文首行缩进 2 Char"/>
    <w:basedOn w:val="409"/>
    <w:link w:val="46"/>
    <w:qFormat/>
    <w:uiPriority w:val="0"/>
    <w:rPr>
      <w:rFonts w:eastAsia="仿宋_GB2312"/>
      <w:kern w:val="2"/>
      <w:sz w:val="24"/>
      <w:szCs w:val="24"/>
    </w:rPr>
  </w:style>
  <w:style w:type="character" w:customStyle="1" w:styleId="413">
    <w:name w:val="正文文本 3 Char"/>
    <w:basedOn w:val="55"/>
    <w:link w:val="18"/>
    <w:qFormat/>
    <w:uiPriority w:val="0"/>
    <w:rPr>
      <w:rFonts w:ascii="仿宋_GB2312" w:eastAsia="仿宋_GB2312"/>
      <w:kern w:val="2"/>
      <w:sz w:val="28"/>
      <w:szCs w:val="28"/>
    </w:rPr>
  </w:style>
  <w:style w:type="character" w:customStyle="1" w:styleId="414">
    <w:name w:val="HTML 预设格式 Char"/>
    <w:basedOn w:val="55"/>
    <w:link w:val="41"/>
    <w:qFormat/>
    <w:uiPriority w:val="0"/>
    <w:rPr>
      <w:rFonts w:ascii="宋体" w:hAnsi="宋体"/>
      <w:sz w:val="24"/>
      <w:szCs w:val="24"/>
      <w:lang w:val="zh-CN" w:eastAsia="zh-CN"/>
    </w:rPr>
  </w:style>
  <w:style w:type="paragraph" w:customStyle="1" w:styleId="415">
    <w:name w:val="正文呀"/>
    <w:basedOn w:val="1"/>
    <w:link w:val="417"/>
    <w:qFormat/>
    <w:uiPriority w:val="0"/>
    <w:pPr>
      <w:autoSpaceDE w:val="0"/>
      <w:autoSpaceDN w:val="0"/>
      <w:ind w:firstLine="480"/>
      <w:jc w:val="left"/>
    </w:pPr>
    <w:rPr>
      <w:snapToGrid w:val="0"/>
      <w:color w:val="000000"/>
      <w:kern w:val="0"/>
      <w:szCs w:val="18"/>
      <w:lang w:val="zh-CN"/>
    </w:rPr>
  </w:style>
  <w:style w:type="paragraph" w:customStyle="1" w:styleId="416">
    <w:name w:val="图名表头"/>
    <w:basedOn w:val="1"/>
    <w:link w:val="418"/>
    <w:qFormat/>
    <w:uiPriority w:val="0"/>
    <w:pPr>
      <w:autoSpaceDE w:val="0"/>
      <w:autoSpaceDN w:val="0"/>
      <w:adjustRightInd w:val="0"/>
      <w:spacing w:line="240" w:lineRule="auto"/>
      <w:ind w:firstLine="0" w:firstLineChars="0"/>
      <w:jc w:val="center"/>
    </w:pPr>
    <w:rPr>
      <w:rFonts w:ascii="黑体" w:hAnsi="黑体" w:eastAsia="黑体"/>
      <w:kern w:val="0"/>
    </w:rPr>
  </w:style>
  <w:style w:type="character" w:customStyle="1" w:styleId="417">
    <w:name w:val="正文呀 Char"/>
    <w:link w:val="415"/>
    <w:qFormat/>
    <w:uiPriority w:val="0"/>
    <w:rPr>
      <w:snapToGrid w:val="0"/>
      <w:color w:val="000000"/>
      <w:sz w:val="24"/>
      <w:szCs w:val="18"/>
      <w:lang w:val="zh-CN"/>
    </w:rPr>
  </w:style>
  <w:style w:type="character" w:customStyle="1" w:styleId="418">
    <w:name w:val="图名表头 Char"/>
    <w:link w:val="416"/>
    <w:qFormat/>
    <w:uiPriority w:val="0"/>
    <w:rPr>
      <w:rFonts w:ascii="黑体" w:hAnsi="黑体" w:eastAsia="黑体"/>
      <w:sz w:val="24"/>
      <w:szCs w:val="24"/>
    </w:rPr>
  </w:style>
  <w:style w:type="paragraph" w:customStyle="1" w:styleId="419">
    <w:name w:val="3级标题"/>
    <w:basedOn w:val="1"/>
    <w:link w:val="420"/>
    <w:qFormat/>
    <w:uiPriority w:val="0"/>
    <w:pPr>
      <w:tabs>
        <w:tab w:val="left" w:pos="851"/>
        <w:tab w:val="left" w:pos="1260"/>
      </w:tabs>
      <w:autoSpaceDE w:val="0"/>
      <w:autoSpaceDN w:val="0"/>
      <w:snapToGrid w:val="0"/>
      <w:spacing w:beforeLines="50"/>
      <w:outlineLvl w:val="2"/>
    </w:pPr>
    <w:rPr>
      <w:rFonts w:eastAsia="黑体"/>
    </w:rPr>
  </w:style>
  <w:style w:type="character" w:customStyle="1" w:styleId="420">
    <w:name w:val="3级标题 Char"/>
    <w:link w:val="419"/>
    <w:qFormat/>
    <w:uiPriority w:val="0"/>
    <w:rPr>
      <w:rFonts w:eastAsia="黑体"/>
      <w:kern w:val="2"/>
      <w:sz w:val="24"/>
      <w:szCs w:val="24"/>
    </w:rPr>
  </w:style>
  <w:style w:type="paragraph" w:customStyle="1" w:styleId="421">
    <w:name w:val="Czy正文"/>
    <w:basedOn w:val="1"/>
    <w:link w:val="422"/>
    <w:qFormat/>
    <w:uiPriority w:val="0"/>
    <w:pPr>
      <w:textAlignment w:val="baseline"/>
    </w:pPr>
    <w:rPr>
      <w:kern w:val="20"/>
    </w:rPr>
  </w:style>
  <w:style w:type="character" w:customStyle="1" w:styleId="422">
    <w:name w:val="Czy正文 Char"/>
    <w:link w:val="421"/>
    <w:qFormat/>
    <w:uiPriority w:val="0"/>
    <w:rPr>
      <w:kern w:val="20"/>
      <w:sz w:val="24"/>
      <w:szCs w:val="24"/>
    </w:rPr>
  </w:style>
  <w:style w:type="paragraph" w:customStyle="1" w:styleId="423">
    <w:name w:val="Quote"/>
    <w:basedOn w:val="1"/>
    <w:next w:val="1"/>
    <w:link w:val="424"/>
    <w:qFormat/>
    <w:uiPriority w:val="0"/>
    <w:pPr>
      <w:ind w:firstLine="0" w:firstLineChars="0"/>
      <w:jc w:val="center"/>
    </w:pPr>
    <w:rPr>
      <w:rFonts w:eastAsia="黑体"/>
      <w:iCs/>
      <w:color w:val="000000" w:themeColor="text1"/>
      <w:sz w:val="21"/>
      <w:szCs w:val="20"/>
      <w14:textFill>
        <w14:solidFill>
          <w14:schemeClr w14:val="tx1"/>
        </w14:solidFill>
      </w14:textFill>
    </w:rPr>
  </w:style>
  <w:style w:type="character" w:customStyle="1" w:styleId="424">
    <w:name w:val="引用 Char"/>
    <w:basedOn w:val="55"/>
    <w:link w:val="423"/>
    <w:qFormat/>
    <w:uiPriority w:val="0"/>
    <w:rPr>
      <w:rFonts w:eastAsia="黑体"/>
      <w:iCs/>
      <w:color w:val="000000" w:themeColor="text1"/>
      <w:kern w:val="2"/>
      <w:sz w:val="21"/>
      <w14:textFill>
        <w14:solidFill>
          <w14:schemeClr w14:val="tx1"/>
        </w14:solidFill>
      </w14:textFill>
    </w:rPr>
  </w:style>
  <w:style w:type="character" w:customStyle="1" w:styleId="425">
    <w:name w:val="正文 + 小二 Char"/>
    <w:link w:val="426"/>
    <w:qFormat/>
    <w:uiPriority w:val="0"/>
    <w:rPr>
      <w:rFonts w:eastAsia="宋体"/>
      <w:kern w:val="2"/>
      <w:sz w:val="24"/>
      <w:szCs w:val="24"/>
      <w:lang w:val="en-US" w:eastAsia="zh-CN" w:bidi="ar-SA"/>
    </w:rPr>
  </w:style>
  <w:style w:type="paragraph" w:customStyle="1" w:styleId="426">
    <w:name w:val="正文 + 小二"/>
    <w:basedOn w:val="1"/>
    <w:link w:val="425"/>
    <w:qFormat/>
    <w:uiPriority w:val="0"/>
    <w:pPr>
      <w:jc w:val="center"/>
    </w:pPr>
    <w:rPr>
      <w:rFonts w:eastAsia="宋体"/>
      <w:kern w:val="2"/>
      <w:sz w:val="24"/>
      <w:szCs w:val="24"/>
      <w:lang w:val="en-US" w:eastAsia="zh-CN" w:bidi="ar-SA"/>
    </w:rPr>
  </w:style>
  <w:style w:type="paragraph" w:customStyle="1" w:styleId="427">
    <w:name w:val="列出段落"/>
    <w:basedOn w:val="1"/>
    <w:qFormat/>
    <w:uiPriority w:val="0"/>
    <w:pPr>
      <w:spacing w:before="0" w:beforeLines="0" w:line="360" w:lineRule="auto"/>
    </w:pPr>
    <w:rPr>
      <w:sz w:val="24"/>
    </w:rPr>
  </w:style>
  <w:style w:type="paragraph" w:customStyle="1" w:styleId="428">
    <w:name w:val="样式 (符号) 宋体 小四 行距: 固定值 27.5 磅"/>
    <w:basedOn w:val="1"/>
    <w:qFormat/>
    <w:uiPriority w:val="0"/>
    <w:pPr>
      <w:spacing w:line="360" w:lineRule="auto"/>
      <w:ind w:firstLine="200" w:firstLineChars="200"/>
    </w:pPr>
    <w:rPr>
      <w:rFonts w:hAnsi="宋体" w:cs="宋体"/>
      <w:sz w:val="24"/>
    </w:rPr>
  </w:style>
  <w:style w:type="paragraph" w:customStyle="1" w:styleId="429">
    <w:name w:val="段落样式"/>
    <w:basedOn w:val="1"/>
    <w:qFormat/>
    <w:uiPriority w:val="0"/>
    <w:pPr>
      <w:keepNext/>
      <w:suppressLineNumbers/>
      <w:suppressAutoHyphens/>
      <w:topLinePunct/>
      <w:adjustRightInd w:val="0"/>
      <w:snapToGrid w:val="0"/>
      <w:spacing w:line="480" w:lineRule="atLeast"/>
      <w:ind w:firstLine="482"/>
      <w:textAlignment w:val="baseline"/>
    </w:pPr>
    <w:rPr>
      <w:snapToGrid w:val="0"/>
      <w:w w:val="90"/>
      <w:kern w:val="0"/>
      <w:sz w:val="28"/>
    </w:rPr>
  </w:style>
  <w:style w:type="paragraph" w:customStyle="1" w:styleId="430">
    <w:name w:val="样式 标题 2 + 行距: 1.5 倍行距"/>
    <w:basedOn w:val="3"/>
    <w:qFormat/>
    <w:uiPriority w:val="0"/>
    <w:pPr>
      <w:spacing w:line="360" w:lineRule="auto"/>
    </w:pPr>
    <w:rPr>
      <w:rFonts w:cs="宋体"/>
      <w:sz w:val="28"/>
    </w:rPr>
  </w:style>
  <w:style w:type="paragraph" w:customStyle="1" w:styleId="431">
    <w:name w:val="Table Paragraph"/>
    <w:basedOn w:val="1"/>
    <w:qFormat/>
    <w:uiPriority w:val="1"/>
    <w:pPr>
      <w:autoSpaceDE w:val="0"/>
      <w:autoSpaceDN w:val="0"/>
      <w:jc w:val="left"/>
    </w:pPr>
    <w:rPr>
      <w:rFonts w:ascii="宋体" w:hAnsi="宋体" w:cs="宋体"/>
      <w:kern w:val="0"/>
      <w:sz w:val="22"/>
      <w:szCs w:val="22"/>
      <w:lang w:val="zh-CN" w:bidi="zh-CN"/>
    </w:rPr>
  </w:style>
  <w:style w:type="paragraph" w:customStyle="1" w:styleId="432">
    <w:name w:val="表格内容"/>
    <w:qFormat/>
    <w:uiPriority w:val="0"/>
    <w:pPr>
      <w:jc w:val="center"/>
    </w:pPr>
    <w:rPr>
      <w:rFonts w:ascii="Times New Roman" w:hAnsi="Times New Roman" w:eastAsia="宋体" w:cs="Times New Roman"/>
      <w:sz w:val="21"/>
      <w:szCs w:val="22"/>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56.wmf"/><Relationship Id="rId98" Type="http://schemas.openxmlformats.org/officeDocument/2006/relationships/oleObject" Target="embeddings/oleObject27.bin"/><Relationship Id="rId97" Type="http://schemas.openxmlformats.org/officeDocument/2006/relationships/image" Target="media/image55.wmf"/><Relationship Id="rId96" Type="http://schemas.openxmlformats.org/officeDocument/2006/relationships/oleObject" Target="embeddings/oleObject26.bin"/><Relationship Id="rId95" Type="http://schemas.openxmlformats.org/officeDocument/2006/relationships/image" Target="media/image54.wmf"/><Relationship Id="rId94" Type="http://schemas.openxmlformats.org/officeDocument/2006/relationships/oleObject" Target="embeddings/oleObject25.bin"/><Relationship Id="rId93" Type="http://schemas.openxmlformats.org/officeDocument/2006/relationships/image" Target="media/image53.wmf"/><Relationship Id="rId92" Type="http://schemas.openxmlformats.org/officeDocument/2006/relationships/oleObject" Target="embeddings/oleObject24.bin"/><Relationship Id="rId91" Type="http://schemas.openxmlformats.org/officeDocument/2006/relationships/image" Target="media/image52.wmf"/><Relationship Id="rId90" Type="http://schemas.openxmlformats.org/officeDocument/2006/relationships/oleObject" Target="embeddings/oleObject23.bin"/><Relationship Id="rId9" Type="http://schemas.openxmlformats.org/officeDocument/2006/relationships/header" Target="header2.xml"/><Relationship Id="rId89" Type="http://schemas.openxmlformats.org/officeDocument/2006/relationships/image" Target="media/image51.wmf"/><Relationship Id="rId88" Type="http://schemas.openxmlformats.org/officeDocument/2006/relationships/oleObject" Target="embeddings/oleObject22.bin"/><Relationship Id="rId87" Type="http://schemas.openxmlformats.org/officeDocument/2006/relationships/image" Target="media/image50.wmf"/><Relationship Id="rId86" Type="http://schemas.openxmlformats.org/officeDocument/2006/relationships/oleObject" Target="embeddings/oleObject21.bin"/><Relationship Id="rId85" Type="http://schemas.openxmlformats.org/officeDocument/2006/relationships/image" Target="media/image49.wmf"/><Relationship Id="rId84" Type="http://schemas.openxmlformats.org/officeDocument/2006/relationships/oleObject" Target="embeddings/oleObject20.bin"/><Relationship Id="rId83" Type="http://schemas.openxmlformats.org/officeDocument/2006/relationships/image" Target="media/image48.wmf"/><Relationship Id="rId82" Type="http://schemas.openxmlformats.org/officeDocument/2006/relationships/oleObject" Target="embeddings/oleObject19.bin"/><Relationship Id="rId81" Type="http://schemas.openxmlformats.org/officeDocument/2006/relationships/image" Target="media/image47.wmf"/><Relationship Id="rId80" Type="http://schemas.openxmlformats.org/officeDocument/2006/relationships/oleObject" Target="embeddings/oleObject18.bin"/><Relationship Id="rId8" Type="http://schemas.openxmlformats.org/officeDocument/2006/relationships/footer" Target="footer5.xml"/><Relationship Id="rId79" Type="http://schemas.openxmlformats.org/officeDocument/2006/relationships/image" Target="media/image46.wmf"/><Relationship Id="rId78" Type="http://schemas.openxmlformats.org/officeDocument/2006/relationships/oleObject" Target="embeddings/oleObject17.bin"/><Relationship Id="rId77" Type="http://schemas.openxmlformats.org/officeDocument/2006/relationships/image" Target="media/image45.wmf"/><Relationship Id="rId76" Type="http://schemas.openxmlformats.org/officeDocument/2006/relationships/oleObject" Target="embeddings/oleObject16.bin"/><Relationship Id="rId75" Type="http://schemas.openxmlformats.org/officeDocument/2006/relationships/image" Target="media/image44.wmf"/><Relationship Id="rId74" Type="http://schemas.openxmlformats.org/officeDocument/2006/relationships/oleObject" Target="embeddings/oleObject15.bin"/><Relationship Id="rId73" Type="http://schemas.openxmlformats.org/officeDocument/2006/relationships/image" Target="media/image43.emf"/><Relationship Id="rId72" Type="http://schemas.openxmlformats.org/officeDocument/2006/relationships/image" Target="media/image42.emf"/><Relationship Id="rId71" Type="http://schemas.openxmlformats.org/officeDocument/2006/relationships/image" Target="media/image41.png"/><Relationship Id="rId70" Type="http://schemas.openxmlformats.org/officeDocument/2006/relationships/image" Target="media/image40.png"/><Relationship Id="rId7" Type="http://schemas.openxmlformats.org/officeDocument/2006/relationships/footer" Target="footer4.xml"/><Relationship Id="rId69" Type="http://schemas.openxmlformats.org/officeDocument/2006/relationships/image" Target="media/image39.wmf"/><Relationship Id="rId68" Type="http://schemas.openxmlformats.org/officeDocument/2006/relationships/oleObject" Target="embeddings/oleObject14.bin"/><Relationship Id="rId67" Type="http://schemas.openxmlformats.org/officeDocument/2006/relationships/oleObject" Target="embeddings/oleObject13.bin"/><Relationship Id="rId66" Type="http://schemas.openxmlformats.org/officeDocument/2006/relationships/image" Target="media/image38.wmf"/><Relationship Id="rId65" Type="http://schemas.openxmlformats.org/officeDocument/2006/relationships/oleObject" Target="embeddings/oleObject12.bin"/><Relationship Id="rId64" Type="http://schemas.openxmlformats.org/officeDocument/2006/relationships/image" Target="media/image37.wmf"/><Relationship Id="rId63" Type="http://schemas.openxmlformats.org/officeDocument/2006/relationships/oleObject" Target="embeddings/oleObject11.bin"/><Relationship Id="rId62" Type="http://schemas.openxmlformats.org/officeDocument/2006/relationships/image" Target="media/image36.wmf"/><Relationship Id="rId61" Type="http://schemas.openxmlformats.org/officeDocument/2006/relationships/oleObject" Target="embeddings/oleObject10.bin"/><Relationship Id="rId60" Type="http://schemas.openxmlformats.org/officeDocument/2006/relationships/image" Target="media/image35.png"/><Relationship Id="rId6" Type="http://schemas.openxmlformats.org/officeDocument/2006/relationships/footer" Target="footer3.xml"/><Relationship Id="rId59" Type="http://schemas.openxmlformats.org/officeDocument/2006/relationships/image" Target="media/image34.wmf"/><Relationship Id="rId58" Type="http://schemas.openxmlformats.org/officeDocument/2006/relationships/image" Target="media/image33.wmf"/><Relationship Id="rId57" Type="http://schemas.openxmlformats.org/officeDocument/2006/relationships/oleObject" Target="embeddings/oleObject9.bin"/><Relationship Id="rId56" Type="http://schemas.openxmlformats.org/officeDocument/2006/relationships/image" Target="media/image32.jpeg"/><Relationship Id="rId55" Type="http://schemas.openxmlformats.org/officeDocument/2006/relationships/image" Target="media/image31.jpeg"/><Relationship Id="rId54" Type="http://schemas.openxmlformats.org/officeDocument/2006/relationships/image" Target="media/image30.jpeg"/><Relationship Id="rId53" Type="http://schemas.openxmlformats.org/officeDocument/2006/relationships/image" Target="media/image29.jpeg"/><Relationship Id="rId52" Type="http://schemas.openxmlformats.org/officeDocument/2006/relationships/image" Target="media/image28.jpeg"/><Relationship Id="rId51" Type="http://schemas.openxmlformats.org/officeDocument/2006/relationships/image" Target="media/image27.jpeg"/><Relationship Id="rId50" Type="http://schemas.openxmlformats.org/officeDocument/2006/relationships/image" Target="media/image26.jpeg"/><Relationship Id="rId5" Type="http://schemas.openxmlformats.org/officeDocument/2006/relationships/footer" Target="footer2.xml"/><Relationship Id="rId49" Type="http://schemas.openxmlformats.org/officeDocument/2006/relationships/image" Target="media/image25.jpeg"/><Relationship Id="rId48" Type="http://schemas.openxmlformats.org/officeDocument/2006/relationships/image" Target="media/image24.jpeg"/><Relationship Id="rId47" Type="http://schemas.openxmlformats.org/officeDocument/2006/relationships/image" Target="media/image23.jpeg"/><Relationship Id="rId46" Type="http://schemas.openxmlformats.org/officeDocument/2006/relationships/image" Target="media/image22.jpeg"/><Relationship Id="rId45" Type="http://schemas.openxmlformats.org/officeDocument/2006/relationships/image" Target="media/image21.jpeg"/><Relationship Id="rId44" Type="http://schemas.openxmlformats.org/officeDocument/2006/relationships/image" Target="media/image20.jpeg"/><Relationship Id="rId43" Type="http://schemas.openxmlformats.org/officeDocument/2006/relationships/image" Target="media/image19.jpeg"/><Relationship Id="rId42" Type="http://schemas.openxmlformats.org/officeDocument/2006/relationships/image" Target="media/image18.jpeg"/><Relationship Id="rId41" Type="http://schemas.openxmlformats.org/officeDocument/2006/relationships/image" Target="media/image17.jpeg"/><Relationship Id="rId40" Type="http://schemas.openxmlformats.org/officeDocument/2006/relationships/image" Target="media/image16.jpeg"/><Relationship Id="rId4" Type="http://schemas.openxmlformats.org/officeDocument/2006/relationships/footer" Target="footer1.xml"/><Relationship Id="rId39" Type="http://schemas.openxmlformats.org/officeDocument/2006/relationships/image" Target="media/image15.wmf"/><Relationship Id="rId38" Type="http://schemas.openxmlformats.org/officeDocument/2006/relationships/oleObject" Target="embeddings/oleObject8.bin"/><Relationship Id="rId37" Type="http://schemas.openxmlformats.org/officeDocument/2006/relationships/image" Target="media/image14.wmf"/><Relationship Id="rId36" Type="http://schemas.openxmlformats.org/officeDocument/2006/relationships/oleObject" Target="embeddings/oleObject7.bin"/><Relationship Id="rId35" Type="http://schemas.openxmlformats.org/officeDocument/2006/relationships/image" Target="media/image13.png"/><Relationship Id="rId34" Type="http://schemas.openxmlformats.org/officeDocument/2006/relationships/image" Target="media/image12.wmf"/><Relationship Id="rId33" Type="http://schemas.openxmlformats.org/officeDocument/2006/relationships/oleObject" Target="embeddings/oleObject6.bin"/><Relationship Id="rId32" Type="http://schemas.openxmlformats.org/officeDocument/2006/relationships/oleObject" Target="embeddings/oleObject5.bin"/><Relationship Id="rId31" Type="http://schemas.openxmlformats.org/officeDocument/2006/relationships/image" Target="media/image11.wmf"/><Relationship Id="rId30" Type="http://schemas.openxmlformats.org/officeDocument/2006/relationships/oleObject" Target="embeddings/oleObject4.bin"/><Relationship Id="rId3" Type="http://schemas.openxmlformats.org/officeDocument/2006/relationships/header" Target="header1.xml"/><Relationship Id="rId29" Type="http://schemas.openxmlformats.org/officeDocument/2006/relationships/image" Target="media/image10.wmf"/><Relationship Id="rId28" Type="http://schemas.openxmlformats.org/officeDocument/2006/relationships/oleObject" Target="embeddings/oleObject3.bin"/><Relationship Id="rId27" Type="http://schemas.openxmlformats.org/officeDocument/2006/relationships/image" Target="media/image9.wmf"/><Relationship Id="rId26" Type="http://schemas.openxmlformats.org/officeDocument/2006/relationships/oleObject" Target="embeddings/oleObject2.bin"/><Relationship Id="rId25" Type="http://schemas.openxmlformats.org/officeDocument/2006/relationships/image" Target="media/image8.wmf"/><Relationship Id="rId24" Type="http://schemas.openxmlformats.org/officeDocument/2006/relationships/oleObject" Target="embeddings/oleObject1.bin"/><Relationship Id="rId23" Type="http://schemas.openxmlformats.org/officeDocument/2006/relationships/image" Target="media/image7.wmf"/><Relationship Id="rId22" Type="http://schemas.openxmlformats.org/officeDocument/2006/relationships/image" Target="media/image6.wmf"/><Relationship Id="rId21" Type="http://schemas.openxmlformats.org/officeDocument/2006/relationships/image" Target="media/image5.wmf"/><Relationship Id="rId20" Type="http://schemas.openxmlformats.org/officeDocument/2006/relationships/image" Target="media/image4.png"/><Relationship Id="rId2" Type="http://schemas.openxmlformats.org/officeDocument/2006/relationships/settings" Target="settings.xml"/><Relationship Id="rId19" Type="http://schemas.openxmlformats.org/officeDocument/2006/relationships/image" Target="media/image3.png"/><Relationship Id="rId18" Type="http://schemas.openxmlformats.org/officeDocument/2006/relationships/image" Target="media/image2.png"/><Relationship Id="rId17" Type="http://schemas.openxmlformats.org/officeDocument/2006/relationships/image" Target="media/image1.jpeg"/><Relationship Id="rId16" Type="http://schemas.openxmlformats.org/officeDocument/2006/relationships/theme" Target="theme/theme1.xml"/><Relationship Id="rId15" Type="http://schemas.openxmlformats.org/officeDocument/2006/relationships/footer" Target="footer8.xml"/><Relationship Id="rId141" Type="http://schemas.openxmlformats.org/officeDocument/2006/relationships/fontTable" Target="fontTable.xml"/><Relationship Id="rId140" Type="http://schemas.openxmlformats.org/officeDocument/2006/relationships/customXml" Target="../customXml/item2.xml"/><Relationship Id="rId14" Type="http://schemas.openxmlformats.org/officeDocument/2006/relationships/footer" Target="footer7.xml"/><Relationship Id="rId139" Type="http://schemas.openxmlformats.org/officeDocument/2006/relationships/numbering" Target="numbering.xml"/><Relationship Id="rId138" Type="http://schemas.openxmlformats.org/officeDocument/2006/relationships/customXml" Target="../customXml/item1.xml"/><Relationship Id="rId137" Type="http://schemas.openxmlformats.org/officeDocument/2006/relationships/image" Target="media/image78.png"/><Relationship Id="rId136" Type="http://schemas.openxmlformats.org/officeDocument/2006/relationships/image" Target="media/image77.png"/><Relationship Id="rId135" Type="http://schemas.openxmlformats.org/officeDocument/2006/relationships/image" Target="media/image76.png"/><Relationship Id="rId134" Type="http://schemas.openxmlformats.org/officeDocument/2006/relationships/image" Target="media/image75.wmf"/><Relationship Id="rId133" Type="http://schemas.openxmlformats.org/officeDocument/2006/relationships/oleObject" Target="embeddings/oleObject43.bin"/><Relationship Id="rId132" Type="http://schemas.openxmlformats.org/officeDocument/2006/relationships/image" Target="media/image74.wmf"/><Relationship Id="rId131" Type="http://schemas.openxmlformats.org/officeDocument/2006/relationships/oleObject" Target="embeddings/oleObject42.bin"/><Relationship Id="rId130" Type="http://schemas.openxmlformats.org/officeDocument/2006/relationships/image" Target="media/image73.wmf"/><Relationship Id="rId13" Type="http://schemas.openxmlformats.org/officeDocument/2006/relationships/footer" Target="footer6.xml"/><Relationship Id="rId129" Type="http://schemas.openxmlformats.org/officeDocument/2006/relationships/oleObject" Target="embeddings/oleObject41.bin"/><Relationship Id="rId128" Type="http://schemas.openxmlformats.org/officeDocument/2006/relationships/image" Target="media/image72.png"/><Relationship Id="rId127" Type="http://schemas.openxmlformats.org/officeDocument/2006/relationships/image" Target="media/image71.png"/><Relationship Id="rId126" Type="http://schemas.openxmlformats.org/officeDocument/2006/relationships/image" Target="media/image70.png"/><Relationship Id="rId125" Type="http://schemas.openxmlformats.org/officeDocument/2006/relationships/image" Target="media/image69.png"/><Relationship Id="rId124" Type="http://schemas.openxmlformats.org/officeDocument/2006/relationships/image" Target="media/image68.wmf"/><Relationship Id="rId123" Type="http://schemas.openxmlformats.org/officeDocument/2006/relationships/oleObject" Target="embeddings/oleObject40.bin"/><Relationship Id="rId122" Type="http://schemas.openxmlformats.org/officeDocument/2006/relationships/image" Target="media/image67.wmf"/><Relationship Id="rId121" Type="http://schemas.openxmlformats.org/officeDocument/2006/relationships/oleObject" Target="embeddings/oleObject39.bin"/><Relationship Id="rId120" Type="http://schemas.openxmlformats.org/officeDocument/2006/relationships/image" Target="media/image66.wmf"/><Relationship Id="rId12" Type="http://schemas.openxmlformats.org/officeDocument/2006/relationships/header" Target="header5.xml"/><Relationship Id="rId119" Type="http://schemas.openxmlformats.org/officeDocument/2006/relationships/oleObject" Target="embeddings/oleObject38.bin"/><Relationship Id="rId118" Type="http://schemas.openxmlformats.org/officeDocument/2006/relationships/image" Target="media/image65.wmf"/><Relationship Id="rId117" Type="http://schemas.openxmlformats.org/officeDocument/2006/relationships/oleObject" Target="embeddings/oleObject37.bin"/><Relationship Id="rId116" Type="http://schemas.openxmlformats.org/officeDocument/2006/relationships/image" Target="media/image64.wmf"/><Relationship Id="rId115" Type="http://schemas.openxmlformats.org/officeDocument/2006/relationships/oleObject" Target="embeddings/oleObject36.bin"/><Relationship Id="rId114" Type="http://schemas.openxmlformats.org/officeDocument/2006/relationships/image" Target="media/image63.wmf"/><Relationship Id="rId113" Type="http://schemas.openxmlformats.org/officeDocument/2006/relationships/oleObject" Target="embeddings/oleObject35.bin"/><Relationship Id="rId112" Type="http://schemas.openxmlformats.org/officeDocument/2006/relationships/image" Target="media/image62.wmf"/><Relationship Id="rId111" Type="http://schemas.openxmlformats.org/officeDocument/2006/relationships/oleObject" Target="embeddings/oleObject34.bin"/><Relationship Id="rId110" Type="http://schemas.openxmlformats.org/officeDocument/2006/relationships/image" Target="media/image61.wmf"/><Relationship Id="rId11" Type="http://schemas.openxmlformats.org/officeDocument/2006/relationships/header" Target="header4.xml"/><Relationship Id="rId109" Type="http://schemas.openxmlformats.org/officeDocument/2006/relationships/oleObject" Target="embeddings/oleObject33.bin"/><Relationship Id="rId108" Type="http://schemas.openxmlformats.org/officeDocument/2006/relationships/oleObject" Target="embeddings/oleObject32.bin"/><Relationship Id="rId107" Type="http://schemas.openxmlformats.org/officeDocument/2006/relationships/image" Target="media/image60.wmf"/><Relationship Id="rId106" Type="http://schemas.openxmlformats.org/officeDocument/2006/relationships/oleObject" Target="embeddings/oleObject31.bin"/><Relationship Id="rId105" Type="http://schemas.openxmlformats.org/officeDocument/2006/relationships/image" Target="media/image59.wmf"/><Relationship Id="rId104" Type="http://schemas.openxmlformats.org/officeDocument/2006/relationships/oleObject" Target="embeddings/oleObject30.bin"/><Relationship Id="rId103" Type="http://schemas.openxmlformats.org/officeDocument/2006/relationships/image" Target="media/image58.wmf"/><Relationship Id="rId102" Type="http://schemas.openxmlformats.org/officeDocument/2006/relationships/oleObject" Target="embeddings/oleObject29.bin"/><Relationship Id="rId101" Type="http://schemas.openxmlformats.org/officeDocument/2006/relationships/image" Target="media/image57.wmf"/><Relationship Id="rId100" Type="http://schemas.openxmlformats.org/officeDocument/2006/relationships/oleObject" Target="embeddings/oleObject28.bin"/><Relationship Id="rId10" Type="http://schemas.openxmlformats.org/officeDocument/2006/relationships/header" Target="head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6C6506B-EE43-4509-A835-F450A2565080}">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135</Pages>
  <Words>67070</Words>
  <Characters>77063</Characters>
  <Lines>1363</Lines>
  <Paragraphs>383</Paragraphs>
  <TotalTime>2</TotalTime>
  <ScaleCrop>false</ScaleCrop>
  <LinksUpToDate>false</LinksUpToDate>
  <CharactersWithSpaces>78411</CharactersWithSpaces>
  <Application>WPS Office_11.1.0.9740_F1E327BC-269C-435d-A152-05C5408002CA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2020-12-21T02:54:00Z</dcterms:created>
  <dc:creator>微软用户</dc:creator>
  <cp:lastModifiedBy>→蓝↗↘雨←</cp:lastModifiedBy>
  <cp:lastPrinted>2021-01-27T01:47:00Z</cp:lastPrinted>
  <dcterms:modified xsi:type="dcterms:W3CDTF">2023-06-01T09:09:55Z</dcterms:modified>
  <dc:title>第7章 设计方案</dc:title>
  <cp:revision>33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y fmtid="{D5CDD505-2E9C-101B-9397-08002B2CF9AE}" pid="3" name="ICV">
    <vt:lpwstr>4BDA27A0098F496B9CC3D8C00E9D1DE8</vt:lpwstr>
  </property>
</Properties>
</file>